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spacing w:before="520" w:after="360"/>
      </w:pPr>
      <w:r>
        <w:t>W U L I A N G S H A N</w:t>
      </w:r>
    </w:p>
    <w:p>
      <w:bookmarkStart w:id="1" w:name="page_01"/>
      <w:pPr>
        <w:pStyle w:val="Title"/>
      </w:pPr>
      <w:r>
        <w:t>通用多 Agent 系统</w:t>
        <w:br/>
        <w:t>需求与架构设计</w:t>
      </w:r>
      <w:bookmarkEnd w:id="1"/>
    </w:p>
    <w:p>
      <w:pPr>
        <w:spacing w:after="320"/>
      </w:pPr>
      <w:r>
        <w:rPr>
          <w:color w:val="247C83"/>
          <w:sz w:val="24"/>
        </w:rPr>
        <w:t>无量山 · Linux 优先 · C++ 核心</w:t>
      </w:r>
    </w:p>
    <w:p>
      <w:pPr>
        <w:pStyle w:val="Kicker"/>
        <w:spacing w:after="360"/>
      </w:pPr>
      <w:r>
        <w:t>需求基线 / v0.1</w:t>
      </w:r>
    </w:p>
    <w:p>
      <w:r>
        <w:t>把所有功能 Agent 统一纳入三层架构：主 Agent 管理，子 Agent 明确与调整任务，孙 Agent 执行；多个临时团队并行协作，验收交接后自动回收。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文档信息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文档编号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WLS-MAS-SPEC-001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文档版本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v0.1 · 需求与建议架构基线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整理日期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2026-10-16（Asia/Taipei）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适用阶段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需求评审、架构评审、开发拆解与验收设计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实现状态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尚未实施；本文件不是已交付功能或已通过测试的证明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依据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本轮需求讨论；后续明确表述优先于早期简化描述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spacing w:before="120" w:after="160" w:line="288" w:lineRule="auto"/>
        <w:ind w:left="180" w:right="180"/>
        <w:shd w:fill="EAF2F5"/>
      </w:pPr>
      <w:r>
        <w:rPr>
          <w:sz w:val="19"/>
        </w:rPr>
        <w:t>三条关键边界：本项目是通用多 Agent 系统，不是配置单个 Agent；开发与 Review 只是业务示例；“覆盖主流端点”和“高缓存率”是系统目标，不等于现已完成兼容或存在统一的命中率保证。</w:t>
      </w:r>
    </w:p>
    <w:p>
      <w:r>
        <w:t>阅读约定：R 编号表示用户已确认的需求；D 编号表示建议架构决策；AC 编号表示拟定验收用例；Q 编号表示待定事项。除“已确认需求”外，本文技术细节均为供评审的实现建议。</w:t>
      </w:r>
    </w:p>
    <w:p>
      <w:r>
        <w:br w:type="page"/>
      </w:r>
    </w:p>
    <w:p>
      <w:pPr>
        <w:pStyle w:val="Kicker"/>
        <w:spacing w:after="80"/>
      </w:pPr>
      <w:r>
        <w:t>阅读说明</w:t>
      </w:r>
    </w:p>
    <w:p>
      <w:bookmarkStart w:id="2" w:name="page_02"/>
      <w:pPr>
        <w:pStyle w:val="Heading1"/>
        <w:spacing w:before="0" w:after="200"/>
      </w:pPr>
      <w:r>
        <w:t>01  文档范围与阅读导航</w:t>
      </w:r>
      <w:bookmarkEnd w:id="2"/>
    </w:p>
    <w:p>
      <w:pPr>
        <w:pStyle w:val="Heading2"/>
      </w:pPr>
      <w:r>
        <w:t>01.1  本版整合了什么</w:t>
      </w:r>
    </w:p>
    <w:p>
      <w:r>
        <w:t>本版覆盖系统定位、统一三层组织、异步任务与变更、并发防混乱、模型和思考等级继承、端点与扩展兼容、高缓存架构、验收交接与自动清理、Linux 实现模块、配置草案、研发阶段和验收清单。</w:t>
      </w:r>
    </w:p>
    <w:p>
      <w:r>
        <w:t>本版不选定具体生产模型、不承诺固定并发量和固定缓存百分比，也不把此前建议自动视为用户批准的技术选型。文中 YAML、接口和状态名称是设计草案，不是已经可执行的产品配置。</w:t>
      </w:r>
    </w:p>
    <w:p>
      <w:pPr>
        <w:pStyle w:val="Heading2"/>
      </w:pPr>
      <w:r>
        <w:t>01.2  已纠正的早期理解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rPr>
          <w:tblHeader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早期简化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本版以此为准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系统只包含开发和 Review 两个主 Agent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所有功能 Agent 均采用同一三层机制；功能主 Agent 数量可配置。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每个请求新建一个主 Agent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功能主 Agent 是长期逻辑身份，可服务多个外部请求和多个并行模块。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子 Agent 只是消息转发器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子 Agent 负责明确任务、解释变更、制定调整要求并指挥孙 Agent。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团队执行完成就能删除目录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完成验收及持久化交接后，才能退出进程并清理团队临时空间。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</w:pPr>
      <w:r>
        <w:t>01.3  阅读路径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5669"/>
        <w:gridCol w:w="2665"/>
      </w:tblGrid>
      <w:tr>
        <w:trPr>
          <w:tblHeader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建议读者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02—03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已确认需求、边界与术语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需求负责人、架构负责人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04—09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架构、任务、状态、变更、协作与模型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核心运行时开发者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10—11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模型端点、MCP、Skills、插件与 A2A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适配层开发者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12—16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上下文编排、缓存管理与测量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模型接入与成本优化负责人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17—19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安全、交接清理、持久化与恢复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执行器与运维负责人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20—26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接口、配置、模块、路线、验收、待定事项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实施与验收人员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附录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官方参考资料与核对边界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全体评审人员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r>
        <w:br w:type="page"/>
      </w:r>
    </w:p>
    <w:p>
      <w:pPr>
        <w:pStyle w:val="Kicker"/>
        <w:spacing w:after="80"/>
      </w:pPr>
      <w:r>
        <w:t>已确认需求</w:t>
      </w:r>
    </w:p>
    <w:p>
      <w:bookmarkStart w:id="3" w:name="page_03"/>
      <w:pPr>
        <w:pStyle w:val="Heading1"/>
        <w:spacing w:before="0" w:after="200"/>
      </w:pPr>
      <w:r>
        <w:t>02  已确认需求清单（上）</w:t>
      </w:r>
      <w:bookmarkEnd w:id="3"/>
    </w:p>
    <w:p>
      <w:r>
        <w:t>以下条款来自用户明确描述；后续建议方案应满足这些条款，不能通过简化实现改变其含义。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118"/>
        <w:gridCol w:w="5726"/>
      </w:tblGrid>
      <w:tr>
        <w:trPr>
          <w:tblHeader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落地约束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建设通用多 Agent 系统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开发、Review、资料整理等只是可配置的功能角色，不写死为产品唯一场景。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R02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C++ 核心；先 Linux，后续保留 Windows 支持目标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Linux 为首个可用平台；业务核心与进程、路径、权限等平台差异分离。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R03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方便配置独立功能的 Agent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功能通过模板、职责、模型、技能与工具权限配置，不要求每次重写核心程序。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R04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所有功能 Agent 采用统一三层结构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主 Agent → 子 Agent → 孙 Agent；不把三层结构仅用于某一个业务。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R05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主 Agent 统一分配、记录、协调、验收和反馈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主 Agent 不直接执行用户业务命令；任务管理动作由结构化控制接口实现。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R06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子 Agent 接收并明确任务，正确处理工作调整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子 Agent 不是原样转发器；不直接执行业务命令。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R07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一个子 Agent 与一个孙 Agent 组成一个团队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孙 Agent 负责实际执行；并行工作通过多个一对子孙团队完成。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R08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异步接收、反馈；执行中可调整或替换指令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接收、应用变更、实际完成必须区分；支持中途改变方向。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R09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同一功能主 Agent 承接不同请求和并行模块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外部负责人保持稳定；不同团队和任务的上下文、工作状态分开管理。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spacing w:before="120" w:after="160" w:line="288" w:lineRule="auto"/>
        <w:ind w:left="180" w:right="180"/>
        <w:shd w:fill="EAF2F5"/>
      </w:pPr>
      <w:r>
        <w:rPr>
          <w:sz w:val="19"/>
        </w:rPr>
        <w:t>“不直接执行命令”限制的是主、子 Agent 对业务执行工具的权限，不禁止宿主程序保存状态、派发事件、管理进程或执行受控清理。主、子 Agent 仍可读取被授权的结构化任务记录和已交接成果视图。</w:t>
      </w:r>
    </w:p>
    <w:p>
      <w:r>
        <w:br w:type="page"/>
      </w:r>
    </w:p>
    <w:p>
      <w:pPr>
        <w:pStyle w:val="Kicker"/>
        <w:spacing w:after="80"/>
      </w:pPr>
      <w:r>
        <w:t>已确认需求</w:t>
      </w:r>
    </w:p>
    <w:p>
      <w:bookmarkStart w:id="4" w:name="page_04"/>
      <w:pPr>
        <w:pStyle w:val="Heading1"/>
        <w:spacing w:before="0" w:after="200"/>
      </w:pPr>
      <w:r>
        <w:t>02  已确认需求清单（下）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118"/>
        <w:gridCol w:w="5726"/>
      </w:tblGrid>
      <w:tr>
        <w:trPr>
          <w:tblHeader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落地约束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R10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多请求、多模块、多团队协作不能混乱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防止串任务、过期指令覆盖、重复派发、越级指挥和不清晰的成果归属。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R11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团队验收、交接后退出并清理工作空间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回收子、孙 Agent 及其工具进程与临时目录；不删除正式成果、模板和必要历史。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R12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主、子、孙的模型和思考等级可独立设置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模型与思考设置分别配置；不强制三层使用同一模型。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R13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未设置时默认与所属主 Agent 一样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按字段解析；子、孙未设置的字段直接继承主 Agent，不经子 Agent 二次继承。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R14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支持目前主流模型端点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作为持续维护的兼容目标，按端点、API、模型、部署和能力登记，不等同于所有特性一致。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R15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使用现有 MCP 生态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具备连接现有 MCP 服务的能力，并维护协议、传输、认证及扩展兼容边界。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R16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使用 Agent Skills 和插件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支持标准技能包与插件适配；平台专用组件按生态适配，不承诺所有包无修改运行。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R17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可以调用其他 Agent，也能被调用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提供双向互通入口及异步任务映射，所有外部调用纳入任务与权限管理。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R18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从系统架构上实现较高缓存复用率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缓存为公共基础设施；重点优化模型输入缓存，并可观测、可解释、可比较总成本。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</w:pPr>
      <w:r>
        <w:t>02.1  当前不作出的承诺</w:t>
      </w:r>
    </w:p>
    <w:p>
      <w:r>
        <w:t>不承诺模型判断永远正确、所有端点缓存必然命中、所有外部副作用只发生一次、所有插件天然跨平台，或某项远程操作收到取消消息就一定终止。需要由权限、状态机、幂等核对、证据验收和明确错误反馈控制这些边界。</w:t>
      </w:r>
    </w:p>
    <w:p>
      <w:pPr>
        <w:pStyle w:val="Heading2"/>
      </w:pPr>
      <w:r>
        <w:t>02.2  兼容目标的验收方式</w:t>
      </w:r>
    </w:p>
    <w:p>
      <w:r>
        <w:t>“覆盖主流端点”保留为产品目标；每次发布必须附具体兼容矩阵与测试证据。尚未实现、未取得测试权限、端点不支持和待验证必须分别标示，不能以一个“兼容模式”替代全部验证。</w:t>
      </w:r>
    </w:p>
    <w:p>
      <w:r>
        <w:br w:type="page"/>
      </w:r>
    </w:p>
    <w:p>
      <w:pPr>
        <w:pStyle w:val="Kicker"/>
        <w:spacing w:after="80"/>
      </w:pPr>
      <w:r>
        <w:t>建议设计</w:t>
      </w:r>
    </w:p>
    <w:p>
      <w:bookmarkStart w:id="5" w:name="page_05"/>
      <w:pPr>
        <w:pStyle w:val="Heading1"/>
        <w:spacing w:before="0" w:after="200"/>
      </w:pPr>
      <w:r>
        <w:t>03  术语与统一组织模型</w:t>
      </w:r>
      <w:bookmarkEnd w:id="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08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定义与边界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功能主 Agent / Root</w:t>
            </w:r>
          </w:p>
        </w:tc>
        <w:tc>
          <w:tcPr>
            <w:tcW w:type="dxa" w:w="708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长期逻辑身份，负责某类业务；一个身份可管理多个项目、请求与团队，不代表只有一个模型会话。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子 Agent / Coordinator</w:t>
            </w:r>
          </w:p>
        </w:tc>
        <w:tc>
          <w:tcPr>
            <w:tcW w:type="dxa" w:w="708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单个团队的任务负责人，负责澄清、计划、调整、状态解释和上报。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孙 Agent / Worker</w:t>
            </w:r>
          </w:p>
        </w:tc>
        <w:tc>
          <w:tcPr>
            <w:tcW w:type="dxa" w:w="708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单个团队唯一有效的 Agent 执行身份；可启动受控工具进程，但不得再派生第四层 Agent。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团队模板 / TeamTemplate</w:t>
            </w:r>
          </w:p>
        </w:tc>
        <w:tc>
          <w:tcPr>
            <w:tcW w:type="dxa" w:w="708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可复用的角色、模型、技能、工具、权限及资源设置；任务结束不删除模板。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团队实例 / Team</w:t>
            </w:r>
          </w:p>
        </w:tc>
        <w:tc>
          <w:tcPr>
            <w:tcW w:type="dxa" w:w="708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一次临时工作的子孙组合；独立身份、状态、工作空间和资源预算。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请求 / Request</w:t>
            </w:r>
          </w:p>
        </w:tc>
        <w:tc>
          <w:tcPr>
            <w:tcW w:type="dxa" w:w="708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外部提交的一次工作需求，具有唯一对外负责人，可拆成多个关联任务。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任务 / Task</w:t>
            </w:r>
          </w:p>
        </w:tc>
        <w:tc>
          <w:tcPr>
            <w:tcW w:type="dxa" w:w="708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可明确目标、输入、版本、依赖、成果与验收标准的工作单元。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成果 / Artifact</w:t>
            </w:r>
          </w:p>
        </w:tc>
        <w:tc>
          <w:tcPr>
            <w:tcW w:type="dxa" w:w="708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带版本、摘要、校验信息和访问权限的可交接结果；不等同于临时文件路径。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</w:pPr>
      <w:r>
        <w:t>03.1  任意功能统一套用</w:t>
      </w:r>
    </w:p>
    <w:p>
      <w:pPr>
        <w:pStyle w:val="CodeBlock"/>
        <w:keepNext/>
        <w:shd w:fill="F0F4F6"/>
        <w:spacing w:before="100"/>
      </w:pPr>
      <w:r>
        <w:rPr>
          <w:rFonts w:ascii="Noto Sans Mono CJK SC" w:hAnsi="Noto Sans Mono CJK SC" w:eastAsia="Noto Sans Mono CJK SC"/>
        </w:rPr>
        <w:t>功能主 Agent A（长期身份）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团队 A1：子 Agent A1 → 孙 Agent A1 → 受控工具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团队 A2：子 Agent A2 → 孙 Agent A2 → 受控工具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功能主 Agent B（长期身份）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团队 B1：子 Agent B1 → 孙 Agent B1 → 受控工具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团队 B2：子 Agent B2 → 孙 Agent B2 → 受控工具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主 Agent 之间：通过有关联编号的任务与成果交接协作</w:t>
      </w:r>
    </w:p>
    <w:p>
      <w:pPr>
        <w:pStyle w:val="CodeBlock"/>
        <w:keepNext w:val="0"/>
        <w:shd w:fill="F0F4F6"/>
        <w:spacing w:after="140"/>
      </w:pPr>
      <w:r>
        <w:rPr>
          <w:rFonts w:ascii="Noto Sans Mono CJK SC" w:hAnsi="Noto Sans Mono CJK SC" w:eastAsia="Noto Sans Mono CJK SC"/>
        </w:rPr>
        <w:t>公共运行时：持久化、调度、权限、模型接入、缓存、回收</w:t>
      </w:r>
    </w:p>
    <w:p>
      <w:r>
        <w:t>建议一个活动团队负责一个明确任务范围。需要同时处理无关目标时新建团队；同任务的多轮修复可复用尚未关闭的团队。失败恢复时可以更换进程，但任何时刻只允许一个有效执行者代次。</w:t>
      </w:r>
    </w:p>
    <w:p>
      <w:r>
        <w:br w:type="page"/>
      </w:r>
    </w:p>
    <w:p>
      <w:pPr>
        <w:pStyle w:val="Kicker"/>
        <w:spacing w:after="80"/>
      </w:pPr>
      <w:r>
        <w:t>建议设计</w:t>
      </w:r>
    </w:p>
    <w:p>
      <w:bookmarkStart w:id="6" w:name="page_06"/>
      <w:pPr>
        <w:pStyle w:val="Heading1"/>
        <w:spacing w:before="0" w:after="200"/>
      </w:pPr>
      <w:r>
        <w:t>04  总体架构与职责边界</w:t>
      </w:r>
      <w:bookmarkEnd w:id="6"/>
    </w:p>
    <w:p>
      <w:pPr>
        <w:pStyle w:val="CodeBlock"/>
        <w:keepNext/>
        <w:shd w:fill="F0F4F6"/>
        <w:spacing w:before="100"/>
      </w:pPr>
      <w:r>
        <w:rPr>
          <w:rFonts w:ascii="Noto Sans Mono CJK SC" w:hAnsi="Noto Sans Mono CJK SC" w:eastAsia="Noto Sans Mono CJK SC"/>
        </w:rPr>
        <w:t>用户 / 外部系统 / 外部 Agent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         │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API、CLI、MCP Server、A2A Server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         │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功能主 Agent 注册与请求路由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         │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主 Agent → 多个临时子孙团队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         │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C++ 控制内核（确定性的状态与权限管理）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任务状态 / 事件收件箱与发件箱 / 权限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调度预算 / 成果验收与交接 / 生命周期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│                         │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上下文编排 / 模型适配 / 缓存      孙 Agent 执行器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│                         │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主流模型端点               MCP / 脚本 / 插件 / 命令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│                         │</w:t>
      </w:r>
    </w:p>
    <w:p>
      <w:pPr>
        <w:pStyle w:val="CodeBlock"/>
        <w:keepNext w:val="0"/>
        <w:shd w:fill="F0F4F6"/>
        <w:spacing w:after="140"/>
      </w:pPr>
      <w:r>
        <w:rPr>
          <w:rFonts w:ascii="Noto Sans Mono CJK SC" w:hAnsi="Noto Sans Mono CJK SC" w:eastAsia="Noto Sans Mono CJK SC"/>
        </w:rPr>
        <w:t>任务数据库与成果存储       Linux 平台隔离与进程管理</w:t>
      </w:r>
    </w:p>
    <w:p>
      <w:pPr>
        <w:pStyle w:val="Heading2"/>
      </w:pPr>
      <w:r>
        <w:t>04.1  三种不同的职责平面</w:t>
      </w:r>
    </w:p>
    <w:p>
      <w:r>
        <w:t>业务判断层由 Agent 负责理解、计划、冲突处理和验收判断；确定性控制层由 C++ 程序负责身份、版本、状态变更、持久化和授权；执行层负责在明确边界内运行工具。控制内核不是第四个 Agent，也不需要依赖模型维护一致性。</w:t>
      </w:r>
    </w:p>
    <w:p>
      <w:pPr>
        <w:pStyle w:val="Heading2"/>
      </w:pPr>
      <w:r>
        <w:t>04.2  不能只靠提示词维持的约束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798"/>
        <w:gridCol w:w="4592"/>
      </w:tblGrid>
      <w:tr>
        <w:trPr>
          <w:tblHeader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主体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允许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拒绝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主 Agent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派单、查询、协调、审核、确认交接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Shell、业务文件写入、绕过子 Agent 直接给孙 Agent 下执行指令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子 Agent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接单、澄清、修改执行要求、查看结果、上报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直接执行业务操作、绕过主 Agent 改变请求目标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孙 Agent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按当前有效版本执行已授权工具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未经批准扩权、接收其他团队直接指令、自建第四层 Agent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宿主内核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结构化管理进程、状态、授权与清理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把模型输出字符串直接当可信管理命令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r>
        <w:t>机械进度传递、心跳、计费与状态同步由程序完成，不必每一层都调用模型；确需理解变化或作出业务决定时，才唤醒对应 Agent。</w:t>
      </w:r>
    </w:p>
    <w:p>
      <w:r>
        <w:br w:type="page"/>
      </w:r>
    </w:p>
    <w:p>
      <w:pPr>
        <w:pStyle w:val="Kicker"/>
        <w:spacing w:after="80"/>
      </w:pPr>
      <w:r>
        <w:t>建议设计</w:t>
      </w:r>
    </w:p>
    <w:p>
      <w:bookmarkStart w:id="7" w:name="page_07"/>
      <w:pPr>
        <w:pStyle w:val="Heading1"/>
        <w:spacing w:before="0" w:after="200"/>
      </w:pPr>
      <w:r>
        <w:t>05  任务契约与事件数据模型</w:t>
      </w:r>
      <w:bookmarkEnd w:id="7"/>
    </w:p>
    <w:p>
      <w:pPr>
        <w:pStyle w:val="Heading2"/>
      </w:pPr>
      <w:r>
        <w:t>05.1  任务必须先有可追踪的契约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969"/>
        <w:gridCol w:w="4252"/>
      </w:tblGrid>
      <w:tr>
        <w:trPr>
          <w:tblHeader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建议字段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归属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tenant_id、project_id、request_id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隔离权限域，关联外部请求。单用户部署也保留隔离域概念。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层级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task_id、parent_task_id、root_agent_id、team_id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确定任务负责人、父子关系和执行团队。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目标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goal、scope、non_goals、acceptance_criteria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明确做什么、不做什么、以什么证据验收。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版本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task_revision、applied_revision、state_version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区分目标要求、已应用要求和并发状态写入版本。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执行身份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attempt_id、lease_epoch、command_id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控制重试、旧执行者和重复指令。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输入与依赖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input_artifact_refs、dependency_edges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记录依赖的是哪份输入、哪版成果。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运行边界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permission_ref、budget_ref、deadline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执行授权、费用/资源限制和超时处理。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输出与反馈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artifact_refs、reply_to、correlation_id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可交接结果及正确的回复路由。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</w:pPr>
      <w:r>
        <w:t>05.2  所有控制事件使用统一信封</w:t>
      </w:r>
    </w:p>
    <w:p>
      <w:pPr>
        <w:pStyle w:val="CodeBlock"/>
        <w:keepNext/>
        <w:shd w:fill="F0F4F6"/>
        <w:spacing w:before="100"/>
      </w:pPr>
      <w:r>
        <w:rPr>
          <w:rFonts w:ascii="Noto Sans Mono CJK SC" w:hAnsi="Noto Sans Mono CJK SC" w:eastAsia="Noto Sans Mono CJK SC"/>
        </w:rPr>
        <w:t>event_id / event_type / schema_version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request_id / task_id / team_id / root_agent_id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command_id / causation_id / correlation_id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expected_state_version / task_revision / lease_epoch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sender_identity / recipient_identity / payload_ref</w:t>
      </w:r>
    </w:p>
    <w:p>
      <w:pPr>
        <w:pStyle w:val="CodeBlock"/>
        <w:keepNext w:val="0"/>
        <w:shd w:fill="F0F4F6"/>
        <w:spacing w:after="140"/>
      </w:pPr>
      <w:r>
        <w:rPr>
          <w:rFonts w:ascii="Noto Sans Mono CJK SC" w:hAnsi="Noto Sans Mono CJK SC" w:eastAsia="Noto Sans Mono CJK SC"/>
        </w:rPr>
        <w:t>created_at / deadline / trace_id</w:t>
      </w:r>
    </w:p>
    <w:p>
      <w:r>
        <w:t>事件载荷保存结构化内容或不可变对象引用，避免队列反复携带大日志。command_id 用于同一指令去重，event_id 用于消息去重；不能只用 task_id 去重，否则会错误丢弃同一任务的合法后续修改。</w:t>
      </w:r>
    </w:p>
    <w:p>
      <w:pPr>
        <w:pStyle w:val="Heading2"/>
      </w:pPr>
      <w:r>
        <w:t>05.3  完成报告最少字段</w:t>
      </w:r>
    </w:p>
    <w:p>
      <w:r>
        <w:t>执行版本、实际完成范围、成果版本/校验值、验证证据、尚未解决问题、外部副作用清单和交接建议。纯自然语言“完成了”不足以推进验收状态。所有字段由宿主校验，不直接采信模型自行声明的身份或权限。</w:t>
      </w:r>
    </w:p>
    <w:p>
      <w:r>
        <w:br w:type="page"/>
      </w:r>
    </w:p>
    <w:p>
      <w:pPr>
        <w:pStyle w:val="Kicker"/>
        <w:spacing w:after="80"/>
      </w:pPr>
      <w:r>
        <w:t>建议设计</w:t>
      </w:r>
    </w:p>
    <w:p>
      <w:bookmarkStart w:id="8" w:name="page_08"/>
      <w:pPr>
        <w:pStyle w:val="Heading1"/>
        <w:spacing w:before="0" w:after="200"/>
      </w:pPr>
      <w:r>
        <w:t>06  任务与团队的双状态机</w:t>
      </w:r>
      <w:bookmarkEnd w:id="8"/>
    </w:p>
    <w:p>
      <w:pPr>
        <w:pStyle w:val="Heading2"/>
      </w:pPr>
      <w:r>
        <w:t>06.1  任务状态与合法推进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195"/>
        <w:gridCol w:w="408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建议状态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接收与准备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RECEIVED → CLARIFYING → QUEUED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持久化成功，任务目标与验收条件可执行。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执行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RUNNING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有效执行者按已应用版本工作。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中途调整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ADJUSTING / WAITING_INPUT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新要求明确、旧动作已处理，新版本得到应用确认。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提交与验收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SUBMITTED → VERIFYING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固定成果版本，审查证据；不通过返回执行或调整。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验收与交接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ACCEPTED → HANDOFF_PENDING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验收记录绑定当前需求与成果；等待接收方确认。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完成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正式成果已持久化、交接已确认；不能仅因派单成功进入。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非正常结束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FAILED / CANCELLED / SUPERSEDED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记录原因、已发生操作和后续处理，走独立收尾策略。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</w:pPr>
      <w:r>
        <w:t>06.2  团队资源状态单独记录</w:t>
      </w:r>
    </w:p>
    <w:p>
      <w:pPr>
        <w:pStyle w:val="CodeBlock"/>
        <w:keepNext/>
        <w:shd w:fill="F0F4F6"/>
        <w:spacing w:before="100"/>
      </w:pPr>
      <w:r>
        <w:rPr>
          <w:rFonts w:ascii="Noto Sans Mono CJK SC" w:hAnsi="Noto Sans Mono CJK SC" w:eastAsia="Noto Sans Mono CJK SC"/>
        </w:rPr>
        <w:t>资源状态：NEW → STARTING → ACTIVE → DRAINING → STOPPED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退出后：  STOPPED → CLEANING → CLOSED</w:t>
      </w:r>
    </w:p>
    <w:p>
      <w:pPr>
        <w:pStyle w:val="CodeBlock"/>
        <w:keepNext w:val="0"/>
        <w:shd w:fill="F0F4F6"/>
        <w:spacing w:after="140"/>
      </w:pPr>
      <w:r>
        <w:rPr>
          <w:rFonts w:ascii="Noto Sans Mono CJK SC" w:hAnsi="Noto Sans Mono CJK SC" w:eastAsia="Noto Sans Mono CJK SC"/>
        </w:rPr>
        <w:t>清理失败：CLEANING → CLEANUP_FAILED；重试时回到 CLEANING</w:t>
      </w:r>
    </w:p>
    <w:p>
      <w:r>
        <w:t>正常结束时，只有关联任务完成验收和交接，团队才能进入 DRAINING。清理失败不抹掉已完成的业务交付：界面应分别显示“业务已完成”和“团队待清理”。验收等待期间不持续调用模型。</w:t>
      </w:r>
    </w:p>
    <w:p>
      <w:pPr>
        <w:pStyle w:val="Heading2"/>
      </w:pPr>
      <w:r>
        <w:t>06.3  必须保留的状态区别</w:t>
      </w:r>
    </w:p>
    <w:p>
      <w:r>
        <w:t>已接收≠已执行；已发送变更≠变更已应用；孙 Agent 提交≠验收通过；验收通过≠交接成功；交接成功≠临时资源已清理。状态更新应带预期版本，过期写入拒绝并重新判断。</w:t>
      </w:r>
    </w:p>
    <w:p>
      <w:r>
        <w:t>父任务的完成条件由工作流定义，检查必需的子任务、审查与交接记录；不以“所有进程都退出”推断业务成功。失败或取消团队的退出可按独立授权政策处理，不能伪造正常验收记录。</w:t>
      </w:r>
    </w:p>
    <w:p>
      <w:r>
        <w:br w:type="page"/>
      </w:r>
    </w:p>
    <w:p>
      <w:pPr>
        <w:pStyle w:val="Kicker"/>
        <w:spacing w:after="80"/>
      </w:pPr>
      <w:r>
        <w:t>建议设计</w:t>
      </w:r>
    </w:p>
    <w:p>
      <w:bookmarkStart w:id="9" w:name="page_09"/>
      <w:pPr>
        <w:pStyle w:val="Heading1"/>
        <w:spacing w:before="0" w:after="200"/>
      </w:pPr>
      <w:r>
        <w:t>07  运行中变更与防止旧指令生效</w:t>
      </w:r>
      <w:bookmarkEnd w:id="9"/>
    </w:p>
    <w:p>
      <w:pPr>
        <w:pStyle w:val="Heading2"/>
      </w:pPr>
      <w:r>
        <w:t>07.1  三类新指令必须明确区分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37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AMEND：修改原任务</w:t>
            </w:r>
          </w:p>
        </w:tc>
        <w:tc>
          <w:tcPr>
            <w:tcW w:type="dxa" w:w="737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保留任务编号，提升需求版本；记录停止项、保留项、新增项和新验收条件。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REPLACE：替换原任务</w:t>
            </w:r>
          </w:p>
        </w:tc>
        <w:tc>
          <w:tcPr>
            <w:tcW w:type="dxa" w:w="737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旧任务标记被取代，建立新任务及替代关系；核对旧操作，禁止混用成果。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NEW：新增任务</w:t>
            </w:r>
          </w:p>
        </w:tc>
        <w:tc>
          <w:tcPr>
            <w:tcW w:type="dxa" w:w="737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新建独立任务；不默认取消旧任务，由主 Agent 决定资源和优先级。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</w:pPr>
      <w:r>
        <w:t>07.2  建议的变更处理顺序</w:t>
      </w:r>
    </w:p>
    <w:p>
      <w:r>
        <w:t>① 主 Agent 接收并记录新要求；② 运行时提升目标版本，阻止旧版本启动新的有影响操作；③ 子 Agent 结合当前进展形成调整方案；④ 处理正在运行的旧操作；⑤ 向孙 Agent 下发明确的新执行要求；⑥ 孙 Agent 确认已应用，更新 applied_revision 并逐级反馈。</w:t>
      </w:r>
    </w:p>
    <w:p>
      <w:r>
        <w:t>界面同时展示 task_revision 与 applied_revision。例如“目标版本 4，执行版本 3，切换中”，不将收到消息误报为完成调整。</w:t>
      </w:r>
    </w:p>
    <w:p>
      <w:pPr>
        <w:pStyle w:val="Heading2"/>
      </w:pPr>
      <w:r>
        <w:t>07.3  并发防线</w:t>
      </w:r>
    </w:p>
    <w:p>
      <w:r>
        <w:t>模型推理或工具等待结束后，提交决策前再次检查 state_version、task_revision 与 lease_epoch；若已过期，结果保存为历史证据，但不得覆盖最新任务。执行器在每次工具启动前，以及成果登记前，均检查版本与授权。</w:t>
      </w:r>
    </w:p>
    <w:p>
      <w:r>
        <w:t>对任务状态写入采用短事务或等价的条件更新；同一任务控制事件有序处理，不把模型调用放在持锁事务内。异步等待期间状态可能变化，这也是工作流消息处理中需要专门处理的并发情况。</w:t>
      </w:r>
      <w:hyperlink w:anchor="ref_S17">
        <w:r>
          <w:rPr>
            <w:rFonts w:ascii="Noto Sans CJK SC" w:hAnsi="Noto Sans CJK SC" w:eastAsia="Noto Sans CJK SC" w:cs="Noto Sans CJK SC"/>
            <w:color w:val="247C83"/>
          </w:rPr>
          <w:t xml:space="preserve">[S17]</w:t>
        </w:r>
      </w:hyperlink>
      <w:r/>
    </w:p>
    <w:p>
      <w:pPr>
        <w:pStyle w:val="Heading2"/>
      </w:pPr>
      <w:r>
        <w:t>07.4  不能取消的操作如何处理</w:t>
      </w:r>
    </w:p>
    <w:p>
      <w:r>
        <w:t>取消采用请求、处理中、成功或不可取消的明确反馈；对于已经发生的外部操作，记录实际结果并按业务规则补偿或人工确认。A2A 的取消接口不保证目标任务一定可取消。</w:t>
      </w:r>
      <w:hyperlink w:anchor="ref_S03">
        <w:r>
          <w:rPr>
            <w:rFonts w:ascii="Noto Sans CJK SC" w:hAnsi="Noto Sans CJK SC" w:eastAsia="Noto Sans CJK SC" w:cs="Noto Sans CJK SC"/>
            <w:color w:val="247C83"/>
          </w:rPr>
          <w:t xml:space="preserve">[S03]</w:t>
        </w:r>
      </w:hyperlink>
      <w:r/>
    </w:p>
    <w:p>
      <w:pPr>
        <w:spacing w:before="120" w:after="160" w:line="288" w:lineRule="auto"/>
        <w:ind w:left="180" w:right="180"/>
        <w:shd w:fill="EAF2F5"/>
      </w:pPr>
      <w:r>
        <w:rPr>
          <w:sz w:val="19"/>
        </w:rPr>
        <w:t>版本检查能阻止后续过期执行，不能让已经启动的外部操作自动消失。不得向用户声称“已撤销”，除非有实际核对结果。</w:t>
      </w:r>
    </w:p>
    <w:p>
      <w:r>
        <w:br w:type="page"/>
      </w:r>
    </w:p>
    <w:p>
      <w:pPr>
        <w:pStyle w:val="Kicker"/>
        <w:spacing w:after="80"/>
      </w:pPr>
      <w:r>
        <w:t>建议设计</w:t>
      </w:r>
    </w:p>
    <w:p>
      <w:bookmarkStart w:id="10" w:name="page_10"/>
      <w:pPr>
        <w:pStyle w:val="Heading1"/>
        <w:spacing w:before="0" w:after="200"/>
      </w:pPr>
      <w:r>
        <w:t>08  多主 Agent 协作与并行模块管理</w:t>
      </w:r>
      <w:bookmarkEnd w:id="10"/>
    </w:p>
    <w:p>
      <w:pPr>
        <w:pStyle w:val="Heading2"/>
      </w:pPr>
      <w:r>
        <w:t>08.1  一个请求只有一个明确的对外负责人</w:t>
      </w:r>
    </w:p>
    <w:p>
      <w:r>
        <w:t>建议 request.owner_root_agent_id 指定完整请求的对外负责人。其他功能主 Agent 通过关联任务参与，并将结果交回负责人。纯审查请求可由 Review 主 Agent 对外负责；开发请求可由开发主 Agent 汇总开发与审查结果。该规则适用于任意功能组合。</w:t>
      </w:r>
    </w:p>
    <w:p>
      <w:pPr>
        <w:pStyle w:val="Heading2"/>
      </w:pPr>
      <w:r>
        <w:t>08.2  依赖和共享修改由主 Agent 协调</w:t>
      </w:r>
    </w:p>
    <w:p>
      <w:r>
        <w:t>同一功能主 Agent 可同时管理多个项目、模块和外部请求，但每个任务有独立上下文、预算和工作空间。跨团队依赖形成有向图，检查循环依赖；依赖成果变化时重新计算受影响任务，不无差别停止其他项目。</w:t>
      </w:r>
    </w:p>
    <w:p>
      <w:r>
        <w:t>代码任务建议使用独立分支与工作树，主分支通过受控集成任务更新。Git worktree 支持多个关联工作树，但会共享部分仓库资源，因此不替代权限隔离或并发集成管理。</w:t>
      </w:r>
      <w:hyperlink w:anchor="ref_S16">
        <w:r>
          <w:rPr>
            <w:rFonts w:ascii="Noto Sans CJK SC" w:hAnsi="Noto Sans CJK SC" w:eastAsia="Noto Sans CJK SC" w:cs="Noto Sans CJK SC"/>
            <w:color w:val="247C83"/>
          </w:rPr>
          <w:t xml:space="preserve">[S16]</w:t>
        </w:r>
      </w:hyperlink>
      <w:r/>
    </w:p>
    <w:p>
      <w:pPr>
        <w:pStyle w:val="Heading2"/>
      </w:pPr>
      <w:r>
        <w:t>08.3  开发与 Review 仅作为通用机制的例子</w:t>
      </w:r>
    </w:p>
    <w:p>
      <w:pPr>
        <w:pStyle w:val="CodeBlock"/>
        <w:keepNext/>
        <w:shd w:fill="F0F4F6"/>
        <w:spacing w:before="100"/>
      </w:pPr>
      <w:r>
        <w:rPr>
          <w:rFonts w:ascii="Noto Sans Mono CJK SC" w:hAnsi="Noto Sans Mono CJK SC" w:eastAsia="Noto Sans Mono CJK SC"/>
        </w:rPr>
        <w:t>外部开发请求 → 开发主 Agent → 并行模块团队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模块成果提交 → Review 主 Agent → 审查团队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需要修复 → 开发主 Agent → 对应开发团队</w:t>
      </w:r>
    </w:p>
    <w:p>
      <w:pPr>
        <w:pStyle w:val="CodeBlock"/>
        <w:keepNext w:val="0"/>
        <w:shd w:fill="F0F4F6"/>
        <w:spacing w:after="140"/>
      </w:pPr>
      <w:r>
        <w:rPr>
          <w:rFonts w:ascii="Noto Sans Mono CJK SC" w:hAnsi="Noto Sans Mono CJK SC" w:eastAsia="Noto Sans Mono CJK SC"/>
        </w:rPr>
        <w:t>审查与集成验证通过 → 当前版本验收 → 交接 → 反馈</w:t>
      </w:r>
    </w:p>
    <w:p>
      <w:r>
        <w:t>Review 团队只把问题交给 Review 主 Agent，由它向开发主 Agent 发出关联修复要求，不直接指挥开发孙 Agent。审查记录绑定需求版本、成果提交、基线和验证证据；旧版本的“通过”不能直接放行新版本。</w:t>
      </w:r>
    </w:p>
    <w:p>
      <w:pPr>
        <w:pStyle w:val="Heading2"/>
      </w:pPr>
      <w:r>
        <w:t>08.4  争议和循环的退出条件</w:t>
      </w:r>
    </w:p>
    <w:p>
      <w:r>
        <w:t>设置返工次数、费用或时间上限；重复分歧升级给指定裁决者，而不是互相无限派单。模块各自通过后仍需检查集成成果；需运行验证命令时交给授权团队，主 Agent 只审阅证据和作出验收判断。</w:t>
      </w:r>
    </w:p>
    <w:p>
      <w:r>
        <w:t>一份结论为“不通过”的审查报告，也可能是已验收的审查任务成果；其交接完成后审查团队可以关闭。之后复审创建新团队读取已保存的问题与代码版本，不依赖原进程。</w:t>
      </w:r>
    </w:p>
    <w:p>
      <w:r>
        <w:br w:type="page"/>
      </w:r>
    </w:p>
    <w:p>
      <w:pPr>
        <w:pStyle w:val="Kicker"/>
        <w:spacing w:after="80"/>
      </w:pPr>
      <w:r>
        <w:t>已确认规则 + 建议机制</w:t>
      </w:r>
    </w:p>
    <w:p>
      <w:bookmarkStart w:id="11" w:name="page_11"/>
      <w:pPr>
        <w:pStyle w:val="Heading1"/>
        <w:spacing w:before="0" w:after="200"/>
      </w:pPr>
      <w:r>
        <w:t>09  模型、思考等级与配置继承</w:t>
      </w:r>
      <w:bookmarkEnd w:id="11"/>
    </w:p>
    <w:p>
      <w:pPr>
        <w:pStyle w:val="Heading2"/>
      </w:pPr>
      <w:r>
        <w:t>09.1  按字段直接继承所属主 Agent</w:t>
      </w:r>
    </w:p>
    <w:p>
      <w:r>
        <w:t>模型 model_ref 和思考设置 reasoning 分别解析。子、孙 Agent 的字段未设置时，直接使用所属主 Agent 已解析的对应字段；孙 Agent 不继承子 Agent 的覆盖值。主 Agent 自己未设置时，建议补齐系统默认值；仍缺少有效模型则拒绝启动。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268"/>
        <w:gridCol w:w="2268"/>
        <w:gridCol w:w="3118"/>
      </w:tblGrid>
      <w:tr>
        <w:trPr>
          <w:tblHeader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声明模型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声明思考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最终配置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主 Agent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模型 A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模型 A / 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子 Agent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模型 B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未设置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模型 B / 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孙 Agent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未设置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模型 A / 中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另一团队孙 Agent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未设置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未设置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模型 A / 高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r>
        <w:t>上表假设模型支持所选档位，只说明继承语义。不同供应商的同名思考等级不代表相同能力、费用或延迟；适配器需校验模型实际支持的参数。</w:t>
      </w:r>
      <w:hyperlink w:anchor="ref_S04">
        <w:r>
          <w:rPr>
            <w:rFonts w:ascii="Noto Sans CJK SC" w:hAnsi="Noto Sans CJK SC" w:eastAsia="Noto Sans CJK SC" w:cs="Noto Sans CJK SC"/>
            <w:color w:val="247C83"/>
          </w:rPr>
          <w:t xml:space="preserve">[S04]</w:t>
        </w:r>
      </w:hyperlink>
      <w:r/>
      <w:hyperlink w:anchor="ref_S06">
        <w:r>
          <w:rPr>
            <w:rFonts w:ascii="Noto Sans CJK SC" w:hAnsi="Noto Sans CJK SC" w:eastAsia="Noto Sans CJK SC" w:cs="Noto Sans CJK SC"/>
            <w:color w:val="247C83"/>
          </w:rPr>
          <w:t xml:space="preserve">[S06]</w:t>
        </w:r>
      </w:hyperlink>
      <w:r/>
    </w:p>
    <w:p>
      <w:pPr>
        <w:pStyle w:val="Heading2"/>
      </w:pPr>
      <w:r>
        <w:t>09.2  未设置、供应商默认和关闭思考必须不同</w:t>
      </w:r>
    </w:p>
    <w:p>
      <w:r>
        <w:t>建议 null 或字段缺失表示继承；provider_default 表示显式采用端点默认；off 表示请求关闭思考；effort 或 token_budget 表示指定等级或预算。reasoning 作为一份完整设置校验，避免把不同模型的等级与预算错误混合。</w:t>
      </w:r>
    </w:p>
    <w:p>
      <w:pPr>
        <w:pStyle w:val="Heading2"/>
      </w:pPr>
      <w:r>
        <w:t>09.3  配置变更与快照</w:t>
      </w:r>
    </w:p>
    <w:p>
      <w:r>
        <w:t>建议团队启动时生成 EffectiveModelConfig，保存模型别名、端点、模型版本、思考映射结果、来源和配置摘要。主 Agent 默认值变更仅影响新建团队；修改活动团队须经显式控制事件，在安全边界切换。权限撤销和紧急停止不受此快照延迟。</w:t>
      </w:r>
    </w:p>
    <w:p>
      <w:r>
        <w:t>默认不静默降级：继承到不支持的等级、模型不可用或预算不足时，明确报错或暂停。备用模型和自动升级仅在有显式策略时启用，记录原因和缓存影响。跨端点切换通过已确认任务状态和成果摘要重建，不假设私有会话格式通用。</w:t>
      </w:r>
    </w:p>
    <w:p>
      <w:r>
        <w:br w:type="page"/>
      </w:r>
    </w:p>
    <w:p>
      <w:pPr>
        <w:pStyle w:val="Kicker"/>
        <w:spacing w:after="80"/>
      </w:pPr>
      <w:r>
        <w:t>目标边界 + 建议设计</w:t>
      </w:r>
    </w:p>
    <w:p>
      <w:bookmarkStart w:id="12" w:name="page_12"/>
      <w:pPr>
        <w:pStyle w:val="Heading1"/>
        <w:spacing w:before="0" w:after="200"/>
      </w:pPr>
      <w:r>
        <w:t>10  主流端点兼容与能力登记</w:t>
      </w:r>
      <w:bookmarkEnd w:id="12"/>
    </w:p>
    <w:p>
      <w:pPr>
        <w:pStyle w:val="Heading2"/>
      </w:pPr>
      <w:r>
        <w:t>10.1  端点不只是一个 URL</w:t>
      </w:r>
    </w:p>
    <w:p>
      <w:r>
        <w:t>以“供应商 / API 家族 / 模型版本 / 区域或部署 / 鉴权范围”标识能力单元。统一内部消息、流式输出、工具调用、用量与错误结构；保留 provider_options 和必要的不透明续接字段，但不得绕过权限或参数校验。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3969"/>
      </w:tblGrid>
      <w:tr>
        <w:trPr>
          <w:tblHeader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候选覆盖范围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实现入口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发布时必须验证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OpenAI 原生及兼容服务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Responses / Chat Completions 分别适配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模型能力、工具与流格式、思考参数、缓存用量。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Anthropic Claude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Messages 等实际开放接口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内容块、工具结果、思考模式、缓存断点与签名续接。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Google Gemini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按模型选择受支持 API 家族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会话模式、工具调用和显式/隐式缓存支持。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云托管端点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Azure / Bedrock / Vertex 等专用适配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部署模型、区域、鉴权和托管平台差异。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其他主流服务与聚合网关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千问、DeepSeek、Kimi、GLM、MiniMax、xAI、Mistral 等列入登记候选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不能因为支持某种兼容格式，就标记全部高级特性可用。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本地推理服务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vLLM、Ollama 等按实际接口适配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工具能力、资源限制、模型模板和推理服务缓存。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r>
        <w:t>上表是兼容登记与研发覆盖候选，不是已完成清单；具体供应商顺序待定。主流范围持续变化，每版按实际需求、可用账号和测试结果更新。云托管缓存行为需独立核对，不能照抄原厂能力。</w:t>
      </w:r>
      <w:hyperlink w:anchor="ref_S08">
        <w:r>
          <w:rPr>
            <w:rFonts w:ascii="Noto Sans CJK SC" w:hAnsi="Noto Sans CJK SC" w:eastAsia="Noto Sans CJK SC" w:cs="Noto Sans CJK SC"/>
            <w:color w:val="247C83"/>
          </w:rPr>
          <w:t xml:space="preserve">[S08]</w:t>
        </w:r>
      </w:hyperlink>
      <w:r/>
      <w:hyperlink w:anchor="ref_S09">
        <w:r>
          <w:rPr>
            <w:rFonts w:ascii="Noto Sans CJK SC" w:hAnsi="Noto Sans CJK SC" w:eastAsia="Noto Sans CJK SC" w:cs="Noto Sans CJK SC"/>
            <w:color w:val="247C83"/>
          </w:rPr>
          <w:t xml:space="preserve">[S09]</w:t>
        </w:r>
      </w:hyperlink>
      <w:r/>
    </w:p>
    <w:p>
      <w:pPr>
        <w:pStyle w:val="Heading2"/>
      </w:pPr>
      <w:r>
        <w:t>10.2  能力表与状态</w:t>
      </w:r>
    </w:p>
    <w:p>
      <w:r>
        <w:t>登记 streaming、tool_calling、structured_output、reasoning_modes、context_limit、cancellation、cache_mode、usage_fields、auth_scope、capability_source 和 verified_at。每项标记 supported、unsupported、unknown 或 experimental；另外记录实现状态与测试状态，不能把“文档支持”当成“本系统已验证”。</w:t>
      </w:r>
    </w:p>
    <w:p>
      <w:r>
        <w:t>连接检查、流式工具往返、错误与限流处理、取消边界、模型设置校验和缓存统计均需单独验证。未支持的必要能力使任务准入失败；可选能力按显式降级政策处理。</w:t>
      </w:r>
    </w:p>
    <w:p>
      <w:r>
        <w:br w:type="page"/>
      </w:r>
    </w:p>
    <w:p>
      <w:pPr>
        <w:pStyle w:val="Kicker"/>
        <w:spacing w:after="80"/>
      </w:pPr>
      <w:r>
        <w:t>建议设计</w:t>
      </w:r>
    </w:p>
    <w:p>
      <w:bookmarkStart w:id="13" w:name="page_13"/>
      <w:pPr>
        <w:pStyle w:val="Heading1"/>
        <w:spacing w:before="0" w:after="200"/>
      </w:pPr>
      <w:r>
        <w:t>11  MCP、Skills、插件与 Agent 互通</w:t>
      </w:r>
      <w:bookmarkEnd w:id="13"/>
    </w:p>
    <w:p>
      <w:pPr>
        <w:pStyle w:val="Heading2"/>
      </w:pPr>
      <w:r>
        <w:t>11.1  MCP：工具与上下文接入</w:t>
      </w:r>
    </w:p>
    <w:p>
      <w:r>
        <w:t>实现 MCP Client 接入已有服务；实现受控的 MCP Server 对外暴露适合的任务提交、查询和结果能力。协议版本、传输、认证、进度/取消及可选扩展分别登记，不将全部扩展捆绑为“支持 MCP”。MCP 定义了工具、资源等接口，也明确将扩展支持与安全控制作为独立问题。</w:t>
      </w:r>
      <w:hyperlink w:anchor="ref_S01">
        <w:r>
          <w:rPr>
            <w:rFonts w:ascii="Noto Sans CJK SC" w:hAnsi="Noto Sans CJK SC" w:eastAsia="Noto Sans CJK SC" w:cs="Noto Sans CJK SC"/>
            <w:color w:val="247C83"/>
          </w:rPr>
          <w:t xml:space="preserve">[S01]</w:t>
        </w:r>
      </w:hyperlink>
      <w:r/>
    </w:p>
    <w:p>
      <w:pPr>
        <w:pStyle w:val="Heading2"/>
      </w:pPr>
      <w:r>
        <w:t>11.2  Skills：指令包与执行依赖</w:t>
      </w:r>
    </w:p>
    <w:p>
      <w:r>
        <w:t>标准 Skill 通过元数据发现、按需激活，再读取脚本和参考资料。SKILL.md 使用 YAML 元数据和 Markdown 正文，脚本语言可用性由宿主实现决定。</w:t>
      </w:r>
      <w:hyperlink w:anchor="ref_S02">
        <w:r>
          <w:rPr>
            <w:rFonts w:ascii="Noto Sans CJK SC" w:hAnsi="Noto Sans CJK SC" w:eastAsia="Noto Sans CJK SC" w:cs="Noto Sans CJK SC"/>
            <w:color w:val="247C83"/>
          </w:rPr>
          <w:t xml:space="preserve">[S02]</w:t>
        </w:r>
      </w:hyperlink>
      <w:r>
        <w:t xml:space="preserve"> 建议增加依赖检查、内容版本、来源审查和权限映射，区分“格式有效”“依赖就绪”“可运行”。</w:t>
      </w:r>
    </w:p>
    <w:p>
      <w:pPr>
        <w:pStyle w:val="Heading2"/>
      </w:pPr>
      <w:r>
        <w:t>11.3  插件：按生态解包与适配</w:t>
      </w:r>
    </w:p>
    <w:p>
      <w:r>
        <w:t>插件安装器解析包清单，将工具、Skills、工作流等映射到内部能力；特定平台的 hooks、agents 和 UI 组件单独适配。Claude Code 的插件清单包含多类组件，导入其中的 Skill 并不等于完整支持整个插件。</w:t>
      </w:r>
      <w:hyperlink w:anchor="ref_S19">
        <w:r>
          <w:rPr>
            <w:rFonts w:ascii="Noto Sans CJK SC" w:hAnsi="Noto Sans CJK SC" w:eastAsia="Noto Sans CJK SC" w:cs="Noto Sans CJK SC"/>
            <w:color w:val="247C83"/>
          </w:rPr>
          <w:t xml:space="preserve">[S19]</w:t>
        </w:r>
      </w:hyperlink>
      <w:r>
        <w:t xml:space="preserve"> 不允许插件自行声明权限后自动获得权限。</w:t>
      </w:r>
    </w:p>
    <w:p>
      <w:pPr>
        <w:pStyle w:val="Heading2"/>
      </w:pPr>
      <w:r>
        <w:t>11.4  A2A：双向任务协作</w:t>
      </w:r>
    </w:p>
    <w:p>
      <w:r>
        <w:t>建议 A2A Client 与 Server 作为 Agent 互通适配层，映射发现信息、任务、消息、成果和可用的异步更新机制。A2A 定义了 Agent Card、任务查询及流/推送等操作；应按对方能力选择具体交互方式。</w:t>
      </w:r>
      <w:hyperlink w:anchor="ref_S03">
        <w:r>
          <w:rPr>
            <w:rFonts w:ascii="Noto Sans CJK SC" w:hAnsi="Noto Sans CJK SC" w:eastAsia="Noto Sans CJK SC" w:cs="Noto Sans CJK SC"/>
            <w:color w:val="247C83"/>
          </w:rPr>
          <w:t xml:space="preserve">[S03]</w:t>
        </w:r>
      </w:hyperlink>
      <w:r>
        <w:t xml:space="preserve"> 内部三级调度不必套一层网络协议，使用内部事件即可。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tblHeader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互通边界</w:t>
            </w:r>
          </w:p>
        </w:tc>
        <w:tc>
          <w:tcPr>
            <w:tcW w:type="dxa" w:w="782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建议规则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外部调用进入</w:t>
            </w:r>
          </w:p>
        </w:tc>
        <w:tc>
          <w:tcPr>
            <w:tcW w:type="dxa" w:w="782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先认证、分配 request_id 与对外负责人，再执行任务准入和预算控制。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调用其他 Agent</w:t>
            </w:r>
          </w:p>
        </w:tc>
        <w:tc>
          <w:tcPr>
            <w:tcW w:type="dxa" w:w="782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仅传所需上下文、成果引用和范围明确的授权，不转交全部历史或所有凭据。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异步通知</w:t>
            </w:r>
          </w:p>
        </w:tc>
        <w:tc>
          <w:tcPr>
            <w:tcW w:type="dxa" w:w="782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回调需认证、重试和去重；断线可查询状态，不能只依赖即时消息。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工具执行权限</w:t>
            </w:r>
          </w:p>
        </w:tc>
        <w:tc>
          <w:tcPr>
            <w:tcW w:type="dxa" w:w="782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执行类能力只给孙 Agent；主、子保留结构化管理接口。服务器端内置执行工具也受同一边界约束。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r>
        <w:br w:type="page"/>
      </w:r>
    </w:p>
    <w:p>
      <w:pPr>
        <w:pStyle w:val="Kicker"/>
        <w:spacing w:after="80"/>
      </w:pPr>
      <w:r>
        <w:t>建议设计</w:t>
      </w:r>
    </w:p>
    <w:p>
      <w:bookmarkStart w:id="14" w:name="page_14"/>
      <w:pPr>
        <w:pStyle w:val="Heading1"/>
        <w:spacing w:before="0" w:after="200"/>
      </w:pPr>
      <w:r>
        <w:t>12  高缓存架构：目标与上下文编排</w:t>
      </w:r>
      <w:bookmarkEnd w:id="14"/>
    </w:p>
    <w:p>
      <w:pPr>
        <w:pStyle w:val="Heading2"/>
      </w:pPr>
      <w:r>
        <w:t>12.1  先分清三种缓存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402"/>
        <w:gridCol w:w="4195"/>
      </w:tblGrid>
      <w:tr>
        <w:trPr>
          <w:tblHeader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关键边界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模型输入缓存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模型服务已处理的前缀或显式缓存对象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不是答案复用，也不是保存到本地就自动命中。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本地上下文存储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任务消息、模板、资料快照、成果引用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用于恢复和重建请求；与服务端缓存生命周期不同。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工具结果缓存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可复用的读取、解析和查询结果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按数据版本、授权和有效期核对；写操作不可泛化缓存。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r>
        <w:t>前缀缓存主要减少重复输入处理；例如 vLLM 的自动前缀缓存并不直接加速新 Token 的解码阶段。</w:t>
      </w:r>
      <w:hyperlink w:anchor="ref_S12">
        <w:r>
          <w:rPr>
            <w:rFonts w:ascii="Noto Sans CJK SC" w:hAnsi="Noto Sans CJK SC" w:eastAsia="Noto Sans CJK SC" w:cs="Noto Sans CJK SC"/>
            <w:color w:val="247C83"/>
          </w:rPr>
          <w:t xml:space="preserve">[S12]</w:t>
        </w:r>
      </w:hyperlink>
      <w:r>
        <w:t xml:space="preserve"> 缓存设计的最终目标是合格交付的总成本和耗时，而非单独追求百分比。</w:t>
      </w:r>
    </w:p>
    <w:p>
      <w:pPr>
        <w:pStyle w:val="Heading2"/>
      </w:pPr>
      <w:r>
        <w:t>12.2  所有角色共用上下文编排器</w:t>
      </w:r>
    </w:p>
    <w:p>
      <w:pPr>
        <w:pStyle w:val="CodeBlock"/>
        <w:keepNext/>
        <w:shd w:fill="F0F4F6"/>
        <w:spacing w:before="100"/>
      </w:pPr>
      <w:r>
        <w:rPr>
          <w:rFonts w:ascii="Noto Sans Mono CJK SC" w:hAnsi="Noto Sans Mono CJK SC" w:eastAsia="Noto Sans Mono CJK SC"/>
        </w:rPr>
        <w:t>稳定工具定义与系统规则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→ 当前角色模板与固定输出约定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→ 授权范围内的项目资料快照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→ 本任务初始要求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→ 已有消息与执行记录</w:t>
      </w:r>
    </w:p>
    <w:p>
      <w:pPr>
        <w:pStyle w:val="CodeBlock"/>
        <w:keepNext w:val="0"/>
        <w:shd w:fill="F0F4F6"/>
        <w:spacing w:after="140"/>
      </w:pPr>
      <w:r>
        <w:rPr>
          <w:rFonts w:ascii="Noto Sans Mono CJK SC" w:hAnsi="Noto Sans Mono CJK SC" w:eastAsia="Noto Sans Mono CJK SC"/>
        </w:rPr>
        <w:t xml:space="preserve">  → 本轮新要求、工具结果与必要实时信息</w:t>
      </w:r>
    </w:p>
    <w:p>
      <w:r>
        <w:t>这是逻辑排序；端点适配器负责按原生结构编码，不得把低信任资料提升为系统指令。原始用户消息、代码和工具证据保持语义与顺序；仅规范化宿主生成的 JSON、工具排列、模板和资料清单。</w:t>
      </w:r>
    </w:p>
    <w:p>
      <w:r>
        <w:t>动态时间、随机团队编号、实际临时目录、剩余预算和全局运行状态不放在共享前缀开头。模型需要的动态信息放在任务后部；不需要的身份信息由运行时保存。工作目录可使用稳定逻辑路径，由执行器映射实际隔离目录。</w:t>
      </w:r>
    </w:p>
    <w:p>
      <w:pPr>
        <w:spacing w:before="120" w:after="160" w:line="288" w:lineRule="auto"/>
        <w:ind w:left="180" w:right="180"/>
        <w:shd w:fill="EAF2F5"/>
      </w:pPr>
      <w:r>
        <w:rPr>
          <w:sz w:val="19"/>
        </w:rPr>
        <w:t>共享的是稳定模板和被授权资料，不是把不同请求的私有历史合并。不同层级的职责和工具不同，不强行统一提示词来换命中率。</w:t>
      </w:r>
    </w:p>
    <w:p>
      <w:r>
        <w:br w:type="page"/>
      </w:r>
    </w:p>
    <w:p>
      <w:pPr>
        <w:pStyle w:val="Kicker"/>
        <w:spacing w:after="80"/>
      </w:pPr>
      <w:r>
        <w:t>建议设计</w:t>
      </w:r>
    </w:p>
    <w:p>
      <w:bookmarkStart w:id="15" w:name="page_15"/>
      <w:pPr>
        <w:pStyle w:val="Heading1"/>
        <w:spacing w:before="0" w:after="200"/>
      </w:pPr>
      <w:r>
        <w:t>13  高缓存架构：会话、变更与工具</w:t>
      </w:r>
      <w:bookmarkEnd w:id="15"/>
    </w:p>
    <w:p>
      <w:pPr>
        <w:pStyle w:val="Heading2"/>
      </w:pPr>
      <w:r>
        <w:t>13.1  两个主要复用维度</w:t>
      </w:r>
    </w:p>
    <w:p>
      <w:r>
        <w:t>跨团队：相同角色、模型配置和公共资料形成稳定前缀，不同任务从后部开始分叉。同团队：多轮请求尽量追加新消息，复用已处理历史。只有前面的前缀也匹配，后面的相同段落才有机会复用；本地块哈希去重不等于模型能任意拼接 KV 缓存。</w:t>
      </w:r>
      <w:hyperlink w:anchor="ref_S04">
        <w:r>
          <w:rPr>
            <w:rFonts w:ascii="Noto Sans CJK SC" w:hAnsi="Noto Sans CJK SC" w:eastAsia="Noto Sans CJK SC" w:cs="Noto Sans CJK SC"/>
            <w:color w:val="247C83"/>
          </w:rPr>
          <w:t xml:space="preserve">[S04]</w:t>
        </w:r>
      </w:hyperlink>
      <w:r/>
      <w:hyperlink w:anchor="ref_S13">
        <w:r>
          <w:rPr>
            <w:rFonts w:ascii="Noto Sans CJK SC" w:hAnsi="Noto Sans CJK SC" w:eastAsia="Noto Sans CJK SC" w:cs="Noto Sans CJK SC"/>
            <w:color w:val="247C83"/>
          </w:rPr>
          <w:t xml:space="preserve">[S13]</w:t>
        </w:r>
      </w:hyperlink>
      <w:r/>
    </w:p>
    <w:p>
      <w:pPr>
        <w:pStyle w:val="Heading2"/>
      </w:pPr>
      <w:r>
        <w:t>13.2  任务变化优先采用追加式表达</w:t>
      </w:r>
    </w:p>
    <w:p>
      <w:r>
        <w:t>对原任务小幅调整，追加带版本的变更内容，明确停止、保留、作废和新验收条件，宿主同步最新有效状态。不每轮改写早期任务描述。完全无关的新任务建立新会话，继续复用角色和项目公共部分，避免携带失效要求。</w:t>
      </w:r>
    </w:p>
    <w:p>
      <w:r>
        <w:t>只在阶段边界、上下文预算触发或恢复需要时生成固定摘要；不要每轮重写历史摘要放回前部。出现权限撤销、敏感内容删除或严重语义冲突时，以安全和正确性为先重建，不因缓存保留不应继续使用的内容。</w:t>
      </w:r>
    </w:p>
    <w:p>
      <w:pPr>
        <w:pStyle w:val="Heading2"/>
      </w:pPr>
      <w:r>
        <w:t>13.3  工具与 Skill 保持小而稳定</w:t>
      </w:r>
    </w:p>
    <w:p>
      <w:r>
        <w:t>角色基础工具集固定版本，任务新增能力按需引入。支持原生延迟加载的端点可利用其机制；例如 Claude 的延迟工具定义在发现后进入消息历史，避免修改早期系统前缀。其缓存顺序为 tools → system → messages，修改工具定义会影响后续前缀。</w:t>
      </w:r>
      <w:hyperlink w:anchor="ref_S06">
        <w:r>
          <w:rPr>
            <w:rFonts w:ascii="Noto Sans CJK SC" w:hAnsi="Noto Sans CJK SC" w:eastAsia="Noto Sans CJK SC" w:cs="Noto Sans CJK SC"/>
            <w:color w:val="247C83"/>
          </w:rPr>
          <w:t xml:space="preserve">[S06]</w:t>
        </w:r>
      </w:hyperlink>
      <w:r/>
    </w:p>
    <w:p>
      <w:r>
        <w:t>不支持延迟加载的端点，团队阶段内锁定工具清单；确需改变时记录配置变化并接受必要重建。Skill 索引与正文分开，正文激活时加入合适的任务位置；不得为缓存把所有 Skill 和插件全文塞入每次请求。</w:t>
      </w:r>
    </w:p>
    <w:p>
      <w:pPr>
        <w:pStyle w:val="Heading2"/>
      </w:pPr>
      <w:r>
        <w:t>13.4  模型设置变化不能一概而论</w:t>
      </w:r>
    </w:p>
    <w:p>
      <w:r>
        <w:t>模型版本、思考设置、输出约束、工具选择和多模态设置等是否影响缓存，由能力表决定；不支持同会话更新时创建新的上下文阶段。供应商要求的续接标识和不透明字段原样保存并受权限控制，不作为可自由改写的通用文本。</w:t>
      </w:r>
      <w:hyperlink w:anchor="ref_S04">
        <w:r>
          <w:rPr>
            <w:rFonts w:ascii="Noto Sans CJK SC" w:hAnsi="Noto Sans CJK SC" w:eastAsia="Noto Sans CJK SC" w:cs="Noto Sans CJK SC"/>
            <w:color w:val="247C83"/>
          </w:rPr>
          <w:t xml:space="preserve">[S04]</w:t>
        </w:r>
      </w:hyperlink>
      <w:r/>
      <w:hyperlink w:anchor="ref_S06">
        <w:r>
          <w:rPr>
            <w:rFonts w:ascii="Noto Sans CJK SC" w:hAnsi="Noto Sans CJK SC" w:eastAsia="Noto Sans CJK SC" w:cs="Noto Sans CJK SC"/>
            <w:color w:val="247C83"/>
          </w:rPr>
          <w:t xml:space="preserve">[S06]</w:t>
        </w:r>
      </w:hyperlink>
      <w:r/>
    </w:p>
    <w:p>
      <w:r>
        <w:br w:type="page"/>
      </w:r>
    </w:p>
    <w:p>
      <w:pPr>
        <w:pStyle w:val="Kicker"/>
        <w:spacing w:after="80"/>
      </w:pPr>
      <w:r>
        <w:t>建议设计</w:t>
      </w:r>
    </w:p>
    <w:p>
      <w:bookmarkStart w:id="16" w:name="page_16"/>
      <w:pPr>
        <w:pStyle w:val="Heading1"/>
        <w:spacing w:before="0" w:after="200"/>
      </w:pPr>
      <w:r>
        <w:t>14  高缓存架构：管理、隔离与调度</w:t>
      </w:r>
      <w:bookmarkEnd w:id="16"/>
    </w:p>
    <w:p>
      <w:pPr>
        <w:pStyle w:val="Heading2"/>
      </w:pPr>
      <w:r>
        <w:t>14.1  缓存生命周期独立于团队进程</w:t>
      </w:r>
    </w:p>
    <w:p>
      <w:r>
        <w:t>核心服务集中管理模板、资料快照、前缀指纹、端点缓存引用与用量。销毁团队不删除仍被其他任务使用的公共内容；销毁本地目录也不代表已删除供应商侧缓存或日志。供应商删除与保留策略独立处理。</w:t>
      </w:r>
    </w:p>
    <w:p>
      <w:pPr>
        <w:pStyle w:val="CodeBlock"/>
        <w:keepNext/>
        <w:shd w:fill="F0F4F6"/>
        <w:spacing w:before="100"/>
      </w:pPr>
      <w:r>
        <w:rPr>
          <w:rFonts w:ascii="Noto Sans Mono CJK SC" w:hAnsi="Noto Sans Mono CJK SC" w:eastAsia="Noto Sans Mono CJK SC"/>
        </w:rPr>
        <w:t>内部复用分组 = 隔离域 + 端点/部署/鉴权范围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     + 模型版本 + 影响缓存的有效设置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     + 原生编码后的前缀结构与内容指纹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会话标识用于任务隔离；不默认把随机 team_id</w:t>
      </w:r>
    </w:p>
    <w:p>
      <w:pPr>
        <w:pStyle w:val="CodeBlock"/>
        <w:keepNext w:val="0"/>
        <w:shd w:fill="F0F4F6"/>
        <w:spacing w:after="140"/>
      </w:pPr>
      <w:r>
        <w:rPr>
          <w:rFonts w:ascii="Noto Sans Mono CJK SC" w:hAnsi="Noto Sans Mono CJK SC" w:eastAsia="Noto Sans Mono CJK SC"/>
        </w:rPr>
        <w:t>加入公共前缀分组，也不假设这个分组键就是供应商缓存键。</w:t>
      </w:r>
    </w:p>
    <w:p>
      <w:r>
        <w:t>缓存键不含明文凭据；按供应商的组织、工作区、部署等实际边界映射。不能把客户端 cache_key 当访问控制。自托管推理的隔离也要独立配置；vLLM 提供请求盐值机制来分隔前缀复用范围。</w:t>
      </w:r>
      <w:hyperlink w:anchor="ref_S13">
        <w:r>
          <w:rPr>
            <w:rFonts w:ascii="Noto Sans CJK SC" w:hAnsi="Noto Sans CJK SC" w:eastAsia="Noto Sans CJK SC" w:cs="Noto Sans CJK SC"/>
            <w:color w:val="247C83"/>
          </w:rPr>
          <w:t xml:space="preserve">[S13]</w:t>
        </w:r>
      </w:hyperlink>
      <w:r/>
    </w:p>
    <w:p>
      <w:pPr>
        <w:pStyle w:val="Heading2"/>
      </w:pPr>
      <w:r>
        <w:t>14.2  避免同时重复冷启动</w:t>
      </w:r>
    </w:p>
    <w:p>
      <w:r>
        <w:t>对同一可共享前缀采用一次准备、其他请求短暂复用准备结果的机制。支持原生预热时按能力使用；其他情况等待真实请求满足该端点的缓存就绪条件，不推测“已发出请求”就已可复用。等待有上限，不得牺牲关键任务截止时间。</w:t>
      </w:r>
    </w:p>
    <w:p>
      <w:r>
        <w:t>调度优先选择已获授权且配置匹配的稳定端点；端点不可用时按显式故障策略处理。缓存亲和性是软偏好，不能改变用户指定模型、绕过地区限制，或让一个大项目长期占满资源。</w:t>
      </w:r>
    </w:p>
    <w:p>
      <w:pPr>
        <w:pStyle w:val="Heading2"/>
      </w:pPr>
      <w:r>
        <w:t>14.3  缓存时长与磁盘预算</w:t>
      </w:r>
    </w:p>
    <w:p>
      <w:r>
        <w:t>依据真实重用间隔、预计复用次数、写入/存储费用和安全策略选择缓存时长。禁止用无意义模型调用长期保活。公共资料及缓存引用采用访问范围、引用计数和容量策略管理；删除不得破坏活动任务。隐式缓存的到期或驱逐可能不可观测，状态需允许 UNKNOWN。</w:t>
      </w:r>
    </w:p>
    <w:p>
      <w:pPr>
        <w:spacing w:before="120" w:after="160" w:line="288" w:lineRule="auto"/>
        <w:ind w:left="180" w:right="180"/>
        <w:shd w:fill="EAF2F5"/>
      </w:pPr>
      <w:r>
        <w:rPr>
          <w:sz w:val="19"/>
        </w:rPr>
        <w:t>本地只能管理上下文与缓存元数据；服务端真实命中以返回的使用量或服务端观测为准。不能把本地找到了相同指纹当作已经获得计费折扣。</w:t>
      </w:r>
    </w:p>
    <w:p>
      <w:r>
        <w:br w:type="page"/>
      </w:r>
    </w:p>
    <w:p>
      <w:pPr>
        <w:pStyle w:val="Kicker"/>
        <w:spacing w:after="80"/>
      </w:pPr>
      <w:r>
        <w:t>建议设计 + 官方能力依据</w:t>
      </w:r>
    </w:p>
    <w:p>
      <w:bookmarkStart w:id="17" w:name="page_17"/>
      <w:pPr>
        <w:pStyle w:val="Heading1"/>
        <w:spacing w:before="0" w:after="200"/>
      </w:pPr>
      <w:r>
        <w:t>15  高缓存架构：端点能力与降级</w:t>
      </w:r>
      <w:bookmarkEnd w:id="17"/>
    </w:p>
    <w:p>
      <w:pPr>
        <w:pStyle w:val="Heading2"/>
      </w:pPr>
      <w:r>
        <w:t>15.1  端点缓存能力表的最低字段</w:t>
      </w:r>
    </w:p>
    <w:p>
      <w:pPr>
        <w:pStyle w:val="CodeBlock"/>
        <w:keepNext/>
        <w:shd w:fill="F0F4F6"/>
        <w:spacing w:before="100"/>
      </w:pPr>
      <w:r>
        <w:rPr>
          <w:rFonts w:ascii="Noto Sans Mono CJK SC" w:hAnsi="Noto Sans Mono CJK SC" w:eastAsia="Noto Sans Mono CJK SC"/>
        </w:rPr>
        <w:t>mode: none | implicit_prefix | explicit_prefix | explicit_object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minimum_tokens / checkpoint_limits / supported_content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retention_options / readiness_condition / isolation_scope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cache_key_semantics / settings_invalidation_rules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usage_mapping / write_read_storage_pricing / deletion_support</w:t>
      </w:r>
    </w:p>
    <w:p>
      <w:pPr>
        <w:pStyle w:val="CodeBlock"/>
        <w:keepNext w:val="0"/>
        <w:shd w:fill="F0F4F6"/>
        <w:spacing w:after="140"/>
      </w:pPr>
      <w:r>
        <w:rPr>
          <w:rFonts w:ascii="Noto Sans Mono CJK SC" w:hAnsi="Noto Sans Mono CJK SC" w:eastAsia="Noto Sans Mono CJK SC"/>
        </w:rPr>
        <w:t>source_url / verified_at / implementation_status / test_status</w:t>
      </w:r>
    </w:p>
    <w:p>
      <w:r>
        <w:t>这些字段是本系统登记模型，不是供应商统一 API。能力不明确时标为 unknown；不发送猜测的私有参数。原生对象缓存与前缀缓存通过不同操作适配，不能假设每个平台都有创建、查询、删除缓存对象的接口。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535"/>
        <w:gridCol w:w="3345"/>
      </w:tblGrid>
      <w:tr>
        <w:trPr>
          <w:tblHeader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端点族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已经核对的差异</w:t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本系统处理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OpenAI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控制字段和缓存计费行为依模型代际而变。</w:t>
            </w:r>
            <w:hyperlink w:anchor="ref_S04">
              <w:r>
                <w:rPr>
                  <w:rFonts w:ascii="Noto Sans CJK SC" w:hAnsi="Noto Sans CJK SC" w:eastAsia="Noto Sans CJK SC" w:cs="Noto Sans CJK SC"/>
                  <w:color w:val="247C83"/>
                </w:rPr>
                <w:t xml:space="preserve">[S04]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使用模型级能力表，不沿用跨代参数。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Claude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支持自动与显式缓存控制；用量区分缓存读取、创建和未缓存输入。</w:t>
            </w:r>
            <w:hyperlink w:anchor="ref_S05">
              <w:r>
                <w:rPr>
                  <w:rFonts w:ascii="Noto Sans CJK SC" w:hAnsi="Noto Sans CJK SC" w:eastAsia="Noto Sans CJK SC" w:cs="Noto Sans CJK SC"/>
                  <w:color w:val="247C83"/>
                </w:rPr>
                <w:t xml:space="preserve">[S05]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映射断点、时长与完整用量，控制工具定义变更。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Gemini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缓存支持同时受 API 家族和模型约束，当前 Interactions 仅支持隐式缓存。</w:t>
            </w:r>
            <w:hyperlink w:anchor="ref_S07">
              <w:r>
                <w:rPr>
                  <w:rFonts w:ascii="Noto Sans CJK SC" w:hAnsi="Noto Sans CJK SC" w:eastAsia="Noto Sans CJK SC" w:cs="Noto Sans CJK SC"/>
                  <w:color w:val="247C83"/>
                </w:rPr>
                <w:t xml:space="preserve">[S07]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不能把 generateContent 的显式能力套到全部接口。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Azure / Bedrock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托管模型、部署方式与接口能力需要独立判断；Bedrock 不保证每次命中。</w:t>
            </w:r>
            <w:hyperlink w:anchor="ref_S08">
              <w:r>
                <w:rPr>
                  <w:rFonts w:ascii="Noto Sans CJK SC" w:hAnsi="Noto Sans CJK SC" w:eastAsia="Noto Sans CJK SC" w:cs="Noto Sans CJK SC"/>
                  <w:color w:val="247C83"/>
                </w:rPr>
                <w:t xml:space="preserve">[S08]</w:t>
              </w:r>
            </w:hyperlink>
            <w:r>
              <w:rPr>
                <w:b w:val="0"/>
                <w:sz w:val="18"/>
              </w:rPr>
            </w:r>
            <w:hyperlink w:anchor="ref_S09">
              <w:r>
                <w:rPr>
                  <w:rFonts w:ascii="Noto Sans CJK SC" w:hAnsi="Noto Sans CJK SC" w:eastAsia="Noto Sans CJK SC" w:cs="Noto Sans CJK SC"/>
                  <w:color w:val="247C83"/>
                </w:rPr>
                <w:t xml:space="preserve">[S09]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分别维护能力和认证，不复用原厂结论冒充实测。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DeepSeek / 千问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两者提供各自上下文缓存机制与用量规则。</w:t>
            </w:r>
            <w:hyperlink w:anchor="ref_S10">
              <w:r>
                <w:rPr>
                  <w:rFonts w:ascii="Noto Sans CJK SC" w:hAnsi="Noto Sans CJK SC" w:eastAsia="Noto Sans CJK SC" w:cs="Noto Sans CJK SC"/>
                  <w:color w:val="247C83"/>
                </w:rPr>
                <w:t xml:space="preserve">[S10]</w:t>
              </w:r>
            </w:hyperlink>
            <w:r>
              <w:rPr>
                <w:b w:val="0"/>
                <w:sz w:val="18"/>
              </w:rPr>
            </w:r>
            <w:hyperlink w:anchor="ref_S11">
              <w:r>
                <w:rPr>
                  <w:rFonts w:ascii="Noto Sans CJK SC" w:hAnsi="Noto Sans CJK SC" w:eastAsia="Noto Sans CJK SC" w:cs="Noto Sans CJK SC"/>
                  <w:color w:val="247C83"/>
                </w:rPr>
                <w:t xml:space="preserve">[S11]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通过专用映射保留原始用量和参数语义。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本地推理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缓存启用、隔离和资源管理发生在推理服务层。</w:t>
            </w:r>
            <w:hyperlink w:anchor="ref_S12">
              <w:r>
                <w:rPr>
                  <w:rFonts w:ascii="Noto Sans CJK SC" w:hAnsi="Noto Sans CJK SC" w:eastAsia="Noto Sans CJK SC" w:cs="Noto Sans CJK SC"/>
                  <w:color w:val="247C83"/>
                </w:rPr>
                <w:t xml:space="preserve">[S12]</w:t>
              </w:r>
            </w:hyperlink>
            <w:r>
              <w:rPr>
                <w:b w:val="0"/>
                <w:sz w:val="18"/>
              </w:rPr>
            </w:r>
            <w:hyperlink w:anchor="ref_S13">
              <w:r>
                <w:rPr>
                  <w:rFonts w:ascii="Noto Sans CJK SC" w:hAnsi="Noto Sans CJK SC" w:eastAsia="Noto Sans CJK SC" w:cs="Noto Sans CJK SC"/>
                  <w:color w:val="247C83"/>
                </w:rPr>
                <w:t xml:space="preserve">[S13]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登记服务配置与观测信息，而非仅检查客户端文本。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r>
        <w:t>以上是 2026-10-16 查阅官方资料后的设计依据，不是本系统兼容测试结果。本文不固化各模型 TTL、最小长度或价格；实施时按所选模型重新核对并保存能力快照。</w:t>
      </w:r>
    </w:p>
    <w:p>
      <w:r>
        <w:br w:type="page"/>
      </w:r>
    </w:p>
    <w:p>
      <w:pPr>
        <w:pStyle w:val="Kicker"/>
        <w:spacing w:after="80"/>
      </w:pPr>
      <w:r>
        <w:t>建议设计</w:t>
      </w:r>
    </w:p>
    <w:p>
      <w:bookmarkStart w:id="18" w:name="page_18"/>
      <w:pPr>
        <w:pStyle w:val="Heading1"/>
        <w:spacing w:before="0" w:after="200"/>
      </w:pPr>
      <w:r>
        <w:t>16  高缓存架构：指标与验收方法</w:t>
      </w:r>
      <w:bookmarkEnd w:id="18"/>
    </w:p>
    <w:p>
      <w:pPr>
        <w:pStyle w:val="Heading2"/>
      </w:pPr>
      <w:r>
        <w:t>16.1  主要指标与口径</w:t>
      </w:r>
    </w:p>
    <w:p>
      <w:pPr>
        <w:pStyle w:val="CodeBlock"/>
        <w:keepNext/>
        <w:shd w:fill="F0F4F6"/>
        <w:spacing w:before="100"/>
      </w:pPr>
      <w:r>
        <w:rPr>
          <w:rFonts w:ascii="Noto Sans Mono CJK SC" w:hAnsi="Noto Sans Mono CJK SC" w:eastAsia="Noto Sans Mono CJK SC"/>
        </w:rPr>
        <w:t>输入 Token 缓存命中率 = Σ实际缓存读取 Token / Σ输入 Token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总体覆盖率 = 有可靠用量记录的请求数 / 所有请求数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同时报告：冷/热请求、写入量、未缓存量、首 Token 延迟、</w:t>
      </w:r>
    </w:p>
    <w:p>
      <w:pPr>
        <w:pStyle w:val="CodeBlock"/>
        <w:keepNext w:val="0"/>
        <w:shd w:fill="F0F4F6"/>
        <w:spacing w:after="140"/>
      </w:pPr>
      <w:r>
        <w:rPr>
          <w:rFonts w:ascii="Noto Sans Mono CJK SC" w:hAnsi="Noto Sans Mono CJK SC" w:eastAsia="Noto Sans Mono CJK SC"/>
        </w:rPr>
        <w:t>端到端耗时、缓存与模型总费用、任务质量和返工次数。</w:t>
      </w:r>
    </w:p>
    <w:p>
      <w:r>
        <w:t>按供应商、模型、角色、模板版本、项目和会话阶段分组；聚合时累加 Token，不对请求命中百分比做简单平均。用量缺失标为未知，不记作零；零输入或无可靠分母时不计算该比率。</w:t>
      </w:r>
    </w:p>
    <w:p>
      <w:r>
        <w:t>缓存写入不是命中。适配器保存原始 usage，再转换为不重叠的统计口径；不能把供应商字段直接相加。Claude 的输入总量为读取缓存、创建缓存和其 input_tokens 三项之和，其他端点按自身定义处理。</w:t>
      </w:r>
      <w:hyperlink w:anchor="ref_S05">
        <w:r>
          <w:rPr>
            <w:rFonts w:ascii="Noto Sans CJK SC" w:hAnsi="Noto Sans CJK SC" w:eastAsia="Noto Sans CJK SC" w:cs="Noto Sans CJK SC"/>
            <w:color w:val="247C83"/>
          </w:rPr>
          <w:t xml:space="preserve">[S05]</w:t>
        </w:r>
      </w:hyperlink>
      <w:r/>
    </w:p>
    <w:p>
      <w:pPr>
        <w:pStyle w:val="Heading2"/>
      </w:pPr>
      <w:r>
        <w:t>16.2  一个明确标注的计算示例</w:t>
      </w:r>
    </w:p>
    <w:p>
      <w:r>
        <w:t>假设每次输入含 12,000 个可复用公共 Token 和 3,000 个独有 Token，只有公共部分可缓存。热请求的理想命中率为 80%。20 次请求中首次完全冷、其余均命中公共前缀时：</w:t>
      </w:r>
    </w:p>
    <w:p>
      <w:pPr>
        <w:pStyle w:val="CodeBlock"/>
        <w:keepNext w:val="0"/>
        <w:shd w:fill="F0F4F6"/>
        <w:spacing w:before="100" w:after="140"/>
      </w:pPr>
      <w:r>
        <w:rPr>
          <w:rFonts w:ascii="Noto Sans Mono CJK SC" w:hAnsi="Noto Sans Mono CJK SC" w:eastAsia="Noto Sans Mono CJK SC"/>
        </w:rPr>
        <w:t>整体命中率 = 19 × 12000 ÷ (20 × 15000) = 76%</w:t>
      </w:r>
    </w:p>
    <w:p>
      <w:r>
        <w:t>这只是计算示例，不是实测指标。</w:t>
      </w:r>
    </w:p>
    <w:p>
      <w:pPr>
        <w:pStyle w:val="Heading2"/>
      </w:pPr>
      <w:r>
        <w:t>16.3  对照与异常诊断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验证场景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应观察什么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相同内容重复编排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宿主生成的前缀字节/结构指纹一致；无随机标识污染。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多团队共享 / 多轮追加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热请求读取量、就绪等待和总费用；与冷启动分开分析。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任务改向 / 工具更新 / 模型切换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失效范围可解释；新要求有效，不为缓存保留错误状态。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长时间等待 / 并发首轮 / 端点切换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过期、重复写入和未知原因有记录；不假造命中结论。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跨权限域隔离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不共享不允许共享的内容；缓存命中不能改变访问授权。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r>
        <w:t>先建立代表性负载的质量、成本与延迟基线，再确定角色级缓存目标。禁止为达到 95% 等数字填充无用上下文。成本统计包含写入、读取、存储与输出；存在重复计费字段时由适配器去重。</w:t>
      </w:r>
    </w:p>
    <w:p>
      <w:r>
        <w:br w:type="page"/>
      </w:r>
    </w:p>
    <w:p>
      <w:pPr>
        <w:pStyle w:val="Kicker"/>
        <w:spacing w:after="80"/>
      </w:pPr>
      <w:r>
        <w:t>建议设计</w:t>
      </w:r>
    </w:p>
    <w:p>
      <w:bookmarkStart w:id="19" w:name="page_19"/>
      <w:pPr>
        <w:pStyle w:val="Heading1"/>
        <w:spacing w:before="0" w:after="200"/>
      </w:pPr>
      <w:r>
        <w:t>17  Linux 执行隔离与安全</w:t>
      </w:r>
      <w:bookmarkEnd w:id="19"/>
    </w:p>
    <w:p>
      <w:pPr>
        <w:pStyle w:val="Heading2"/>
      </w:pPr>
      <w:r>
        <w:t>17.1  权限由运行时强制执行</w:t>
      </w:r>
    </w:p>
    <w:p>
      <w:r>
        <w:t>主、子 Agent 的工具注册表仅含管理接口；孙 Agent 获得任务范围内的最小执行能力。所有执行入口都检查身份、任务版本、有效执行者代次、工具授权、路径与网络范围。外部 Agent、MCP、Skill 和插件均不能自行提升权限。</w:t>
      </w:r>
    </w:p>
    <w:p>
      <w:r>
        <w:t>不将工具自报的只读或安全标记当成唯一授权依据。MCP 官方明确要求对非可信来源的工具行为注解保持不信任。</w:t>
      </w:r>
      <w:hyperlink w:anchor="ref_S01">
        <w:r>
          <w:rPr>
            <w:rFonts w:ascii="Noto Sans CJK SC" w:hAnsi="Noto Sans CJK SC" w:eastAsia="Noto Sans CJK SC" w:cs="Noto Sans CJK SC"/>
            <w:color w:val="247C83"/>
          </w:rPr>
          <w:t xml:space="preserve">[S01]</w:t>
        </w:r>
      </w:hyperlink>
      <w:r>
        <w:t xml:space="preserve"> 外部文档、工具返回和 Skill 内容按来源分级，不升级为宿主管理指令。</w:t>
      </w:r>
    </w:p>
    <w:p>
      <w:pPr>
        <w:pStyle w:val="Heading2"/>
      </w:pPr>
      <w:r>
        <w:t>17.2  进程隔离与资源限制是两件事</w:t>
      </w:r>
    </w:p>
    <w:p>
      <w:r>
        <w:t>建议每个活动团队有受控的子 Agent、孙 Agent 进程，以及归属明确的工具进程。Linux 进程监管可结合 cgroup v2 做分组、资源控制和退出核对；该机制提供整组管理能力，但不替代文件系统、网络、系统调用与用户权限隔离。</w:t>
      </w:r>
      <w:hyperlink w:anchor="ref_S15">
        <w:r>
          <w:rPr>
            <w:rFonts w:ascii="Noto Sans CJK SC" w:hAnsi="Noto Sans CJK SC" w:eastAsia="Noto Sans CJK SC" w:cs="Noto Sans CJK SC"/>
            <w:color w:val="247C83"/>
          </w:rPr>
          <w:t xml:space="preserve">[S15]</w:t>
        </w:r>
      </w:hyperlink>
      <w:r/>
    </w:p>
    <w:p>
      <w:r>
        <w:t>具体部署可选非特权用户、受控容器或 namespace、seccomp、只读挂载、网络白名单与资源配额，按发行版和运行权限验证。禁止默认 root 运行第三方脚本，也不默认挂载整个宿主文件系统。</w:t>
      </w:r>
    </w:p>
    <w:p>
      <w:pPr>
        <w:pStyle w:val="Heading2"/>
      </w:pPr>
      <w:r>
        <w:t>17.3  凭据与副作用</w:t>
      </w:r>
    </w:p>
    <w:p>
      <w:r>
        <w:t>凭据只以 secret_ref 引用；模型和日志不得读取全部密钥。按工具调用临时提供必要凭据，限制继承环境变量。发邮件、发布、外部写入等操作按风险配置批准要求；批准绑定确切操作和版本，不允许旧批准授权新的变更。</w:t>
      </w:r>
    </w:p>
    <w:p>
      <w:pPr>
        <w:pStyle w:val="Heading2"/>
      </w:pPr>
      <w:r>
        <w:t>17.4  文件与插件供应链</w:t>
      </w:r>
    </w:p>
    <w:p>
      <w:r>
        <w:t>工作空间和成果路径按授权根目录限制，防路径穿越、符号链接绕过及校验后替换。插件与 Skill 记录来源、版本、依赖、摘要和安装审查状态；“能安装”不等于“允许执行”。已撤销权限在工具启动前再次检查。</w:t>
      </w:r>
    </w:p>
    <w:p>
      <w:pPr>
        <w:spacing w:before="120" w:after="160" w:line="288" w:lineRule="auto"/>
        <w:ind w:left="180" w:right="180"/>
        <w:shd w:fill="EAF2F5"/>
      </w:pPr>
      <w:r>
        <w:rPr>
          <w:sz w:val="19"/>
        </w:rPr>
        <w:t>缓存和日志都可能包含私有信息。对本地数据、供应商留存、诊断采样和导出建立独立策略；提升缓存率不得扩大数据共享范围。</w:t>
      </w:r>
    </w:p>
    <w:p>
      <w:r>
        <w:br w:type="page"/>
      </w:r>
    </w:p>
    <w:p>
      <w:pPr>
        <w:pStyle w:val="Kicker"/>
        <w:spacing w:after="80"/>
      </w:pPr>
      <w:r>
        <w:t>已确认条件 + 建议执行机制</w:t>
      </w:r>
    </w:p>
    <w:p>
      <w:bookmarkStart w:id="20" w:name="page_20"/>
      <w:pPr>
        <w:pStyle w:val="Heading1"/>
        <w:spacing w:before="0" w:after="200"/>
      </w:pPr>
      <w:r>
        <w:t>18  验收、交接、退出与磁盘回收</w:t>
      </w:r>
      <w:bookmarkEnd w:id="20"/>
    </w:p>
    <w:p>
      <w:pPr>
        <w:pStyle w:val="Heading2"/>
      </w:pPr>
      <w:r>
        <w:t>18.1  正常关闭必须经过两个业务关口</w:t>
      </w:r>
    </w:p>
    <w:p>
      <w:r>
        <w:t>关口一是验收：主 Agent 根据当前需求、固定成果和证据作出接受或返工决定。关口二是交接：正式成果已保存至团队临时目录之外，接收方或指定系统确认可用。两者满足后，运行时才能关闭团队。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tblHeader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782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必要检查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固定提交</w:t>
            </w:r>
          </w:p>
        </w:tc>
        <w:tc>
          <w:tcPr>
            <w:tcW w:type="dxa" w:w="782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锁定任务版本、成果摘要与验证证据；提交后不原地修改待验收版本。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验收记录</w:t>
            </w:r>
          </w:p>
        </w:tc>
        <w:tc>
          <w:tcPr>
            <w:tcW w:type="dxa" w:w="782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结论绑定当前要求、成果和基线；发生相关修改时重新评估有效性。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持久化成果</w:t>
            </w:r>
          </w:p>
        </w:tc>
        <w:tc>
          <w:tcPr>
            <w:tcW w:type="dxa" w:w="782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写入正式位置并核对清单、大小/摘要、权限和可读性；原子发布与数据库引用协调。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确认交接</w:t>
            </w:r>
          </w:p>
        </w:tc>
        <w:tc>
          <w:tcPr>
            <w:tcW w:type="dxa" w:w="782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记录接收方、成果引用、依赖说明、未决风险与确认时间。临时路径不能作为唯一交付。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退出进程</w:t>
            </w:r>
          </w:p>
        </w:tc>
        <w:tc>
          <w:tcPr>
            <w:tcW w:type="dxa" w:w="782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停止新接单和新工具；请求正常退出；超时按政策终止，核对残留工具进程。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清理空间</w:t>
            </w:r>
          </w:p>
        </w:tc>
        <w:tc>
          <w:tcPr>
            <w:tcW w:type="dxa" w:w="782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仅删除归属该团队的临时目录和中间产物；保护正式成果、用户原件与共享依赖。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关闭登记</w:t>
            </w:r>
          </w:p>
        </w:tc>
        <w:tc>
          <w:tcPr>
            <w:tcW w:type="dxa" w:w="782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记录释放资源、清理结果和错误；失败进入待清理队列，保留重试审计。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</w:pPr>
      <w:r>
        <w:t>18.2  清理不能由模型拼接任意删除命令</w:t>
      </w:r>
    </w:p>
    <w:p>
      <w:r>
        <w:t>主 Agent 提交结构化关闭请求，生命周期模块核对条件后执行白名单目录清理。以受信任目录句柄和团队资源清单为边界，防止路径替换和跨目录删除；开发工作树通过受控仓库管理逻辑移除，不把任意 rm 命令交给模型。</w:t>
      </w:r>
    </w:p>
    <w:p>
      <w:pPr>
        <w:pStyle w:val="Heading2"/>
      </w:pPr>
      <w:r>
        <w:t>18.3  保存什么、清理什么</w:t>
      </w:r>
    </w:p>
    <w:p>
      <w:r>
        <w:t>清理团队缓存、下载副本、构建中间物和临时日志；保存正式成果、关键变更、配置快照、验收与交接记录。共享缓存按独立容量策略管理。日志轮转、失败保留期限、数据库归档和成果保留期均需明确，避免只删团队目录却仍持续涨盘。</w:t>
      </w:r>
    </w:p>
    <w:p>
      <w:r>
        <w:t>交接失败禁止删除唯一成果。失败、取消、被替代任务由独立终止交接政策收尾，不伪装成成功验收。交付的是长期服务时先移交到正式运行环境；团队关闭后新请求建立关联任务，不给已退出进程继续派单。</w:t>
      </w:r>
    </w:p>
    <w:p>
      <w:r>
        <w:br w:type="page"/>
      </w:r>
    </w:p>
    <w:p>
      <w:pPr>
        <w:pStyle w:val="Kicker"/>
        <w:spacing w:after="80"/>
      </w:pPr>
      <w:r>
        <w:t>建议设计</w:t>
      </w:r>
    </w:p>
    <w:p>
      <w:bookmarkStart w:id="21" w:name="page_21"/>
      <w:pPr>
        <w:pStyle w:val="Heading1"/>
        <w:spacing w:before="0" w:after="200"/>
      </w:pPr>
      <w:r>
        <w:t>19  持久化、恢复、预算与防卡死</w:t>
      </w:r>
      <w:bookmarkEnd w:id="21"/>
    </w:p>
    <w:p>
      <w:pPr>
        <w:pStyle w:val="Heading2"/>
      </w:pPr>
      <w:r>
        <w:t>19.1  单机优先，状态是唯一事实来源</w:t>
      </w:r>
    </w:p>
    <w:p>
      <w:r>
        <w:t>建议 Linux 首版使用一个核心服务管理任务数据库、事件收件箱/发件箱和成果引用，模型上下文不作为唯一状态存储。可采用 SQLite WAL，但它仍只有一个同时写入者；事务保持短小，不在数据库事务中等待模型或工具。</w:t>
      </w:r>
      <w:hyperlink w:anchor="ref_S14">
        <w:r>
          <w:rPr>
            <w:rFonts w:ascii="Noto Sans CJK SC" w:hAnsi="Noto Sans CJK SC" w:eastAsia="Noto Sans CJK SC" w:cs="Noto Sans CJK SC"/>
            <w:color w:val="247C83"/>
          </w:rPr>
          <w:t xml:space="preserve">[S14]</w:t>
        </w:r>
      </w:hyperlink>
      <w:r>
        <w:t xml:space="preserve"> 多机部署时再评估独立数据库与队列。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tblHeader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持久化对象</w:t>
            </w:r>
          </w:p>
        </w:tc>
        <w:tc>
          <w:tcPr>
            <w:tcW w:type="dxa" w:w="765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建议约束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任务与事件</w:t>
            </w:r>
          </w:p>
        </w:tc>
        <w:tc>
          <w:tcPr>
            <w:tcW w:type="dxa" w:w="765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同一事务提交状态变更及待发送消息；接收确认在可靠保存之后返回。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消息收发</w:t>
            </w:r>
          </w:p>
        </w:tc>
        <w:tc>
          <w:tcPr>
            <w:tcW w:type="dxa" w:w="765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可重试派发，收件箱按唯一事件/指令去重；无全局“恰好一次”承诺。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成果与数据库</w:t>
            </w:r>
          </w:p>
        </w:tc>
        <w:tc>
          <w:tcPr>
            <w:tcW w:type="dxa" w:w="765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先可靠保存成果，再发布可见引用；扫描孤立文件，不在活动写入期间清理。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执行代次</w:t>
            </w:r>
          </w:p>
        </w:tc>
        <w:tc>
          <w:tcPr>
            <w:tcW w:type="dxa" w:w="765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恢复先核对旧进程、旧租约与外部操作，再发新 lease_epoch；旧代次不能提交成果。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日志与回放</w:t>
            </w:r>
          </w:p>
        </w:tc>
        <w:tc>
          <w:tcPr>
            <w:tcW w:type="dxa" w:w="765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保留关键决策输入、事件与版本；恢复不重新调用模型重做已经提交的历史决策。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</w:pPr>
      <w:r>
        <w:t>19.2  副作用重试必须可核对</w:t>
      </w:r>
    </w:p>
    <w:p>
      <w:r>
        <w:t>区分安全重复、具备业务幂等键、结果未知待核对、不能自动重试四类操作。进程崩溃可能发生在外部动作已完成但反馈未保存之后；此时不能盲目重发。工作流活动的重试也需要幂等设计或等价业务保障。</w:t>
      </w:r>
      <w:hyperlink w:anchor="ref_S18">
        <w:r>
          <w:rPr>
            <w:rFonts w:ascii="Noto Sans CJK SC" w:hAnsi="Noto Sans CJK SC" w:eastAsia="Noto Sans CJK SC" w:cs="Noto Sans CJK SC"/>
            <w:color w:val="247C83"/>
          </w:rPr>
          <w:t xml:space="preserve">[S18]</w:t>
        </w:r>
      </w:hyperlink>
      <w:r/>
    </w:p>
    <w:p>
      <w:pPr>
        <w:pStyle w:val="Heading2"/>
      </w:pPr>
      <w:r>
        <w:t>19.3  并发配额与预算</w:t>
      </w:r>
    </w:p>
    <w:p>
      <w:r>
        <w:t>配置系统、功能主 Agent、项目和端点的并发上限与公平队列；为关键协作角色保留容量，避免开发占满资源而审查无法启动。预算含已使用和已预留的在途消耗；不足时暂停或升级决策，不默认换弱模型。</w:t>
      </w:r>
    </w:p>
    <w:p>
      <w:pPr>
        <w:pStyle w:val="Heading2"/>
      </w:pPr>
      <w:r>
        <w:t>19.4  健康状态不等于任务进展</w:t>
      </w:r>
    </w:p>
    <w:p>
      <w:r>
        <w:t>分别记录进程心跳和最后一次有效进展；检测重复调用、相同错误、长时间无成果变化、无限等待与循环委派。阈值触发时生成待决策事件。取消、超时、最大返工次数和最大委派深度须有可配置上限，不能靠模型自行记住。</w:t>
      </w:r>
    </w:p>
    <w:p>
      <w:r>
        <w:br w:type="page"/>
      </w:r>
    </w:p>
    <w:p>
      <w:pPr>
        <w:pStyle w:val="Kicker"/>
        <w:spacing w:after="80"/>
      </w:pPr>
      <w:r>
        <w:t>建议设计 / 非已实现 API</w:t>
      </w:r>
    </w:p>
    <w:p>
      <w:bookmarkStart w:id="22" w:name="page_22"/>
      <w:pPr>
        <w:pStyle w:val="Heading1"/>
        <w:spacing w:before="0" w:after="200"/>
      </w:pPr>
      <w:r>
        <w:t>20  对外接口与管理命令草案</w:t>
      </w:r>
      <w:bookmarkEnd w:id="22"/>
    </w:p>
    <w:p>
      <w:pPr>
        <w:pStyle w:val="Heading2"/>
      </w:pPr>
      <w:r>
        <w:t>20.1  统一任务入口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515"/>
        <w:gridCol w:w="476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建议接口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关键语义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提交请求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POST /v1/requests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指定功能主 Agent；支持客户端幂等键；保存成功后返回 request_id。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任务查询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GET /v1/tasks/{id}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返回目标/执行版本、状态、团队、成果与等待原因。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修改任务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POST /v1/tasks/{id}/changes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带 AMEND/REPLACE/NEW、expected_version 和修改内容。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取消任务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POST /v1/tasks/{id}/cancel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返回取消请求状态；不假定立即撤销外部操作。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订阅进展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GET /v1/requests/{id}/events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按授权输出事件；支持游标续传，超出保留期转状态快照。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验收与交接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POST /v1/tasks/{id}/acceptance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POST /v1/tasks/{id}/handoff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绑定需求与成果版本；验收、交接分别确认。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团队与配置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GET /v1/teams/{id}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GET /v1/agents/{id}/config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查询资源、清理状态及配置来源；敏感信息脱敏。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r>
        <w:t>所有接口使用统一认证、访问范围、错误码和审计。MCP 与 A2A 作为此任务内核的协议适配入口；不能另外建立绕过版本和权限规则的快捷执行通道。</w:t>
      </w:r>
    </w:p>
    <w:p>
      <w:pPr>
        <w:pStyle w:val="Heading2"/>
      </w:pPr>
      <w:r>
        <w:t>20.2  CLI 最小操作集</w:t>
      </w:r>
    </w:p>
    <w:p>
      <w:pPr>
        <w:pStyle w:val="CodeBlock"/>
        <w:keepNext/>
        <w:shd w:fill="F0F4F6"/>
        <w:spacing w:before="100"/>
      </w:pPr>
      <w:r>
        <w:rPr>
          <w:rFonts w:ascii="Noto Sans Mono CJK SC" w:hAnsi="Noto Sans Mono CJK SC" w:eastAsia="Noto Sans Mono CJK SC"/>
        </w:rPr>
        <w:t>wls agents list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wls config explain --agent &lt;id&gt; --role worker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wls requests submit --agent &lt;id&gt; --file &lt;task&gt;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wls tasks show &lt;task_id&gt;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wls tasks change &lt;task_id&gt; --expected-version &lt;n&gt; --file &lt;change&gt;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wls tasks cancel &lt;task_id&gt;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wls teams show &lt;team_id&gt;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wls cache explain --request &lt;model_request_id&gt;</w:t>
      </w:r>
    </w:p>
    <w:p>
      <w:pPr>
        <w:pStyle w:val="CodeBlock"/>
        <w:keepNext w:val="0"/>
        <w:shd w:fill="F0F4F6"/>
        <w:spacing w:after="140"/>
      </w:pPr>
      <w:r>
        <w:rPr>
          <w:rFonts w:ascii="Noto Sans Mono CJK SC" w:hAnsi="Noto Sans Mono CJK SC" w:eastAsia="Noto Sans Mono CJK SC"/>
        </w:rPr>
        <w:t>wls cleanup retry --team &lt;team_id&gt;</w:t>
      </w:r>
    </w:p>
    <w:p>
      <w:r>
        <w:t>CLI 名称 wls 仅为示例。配置检查、权限验证和兼容性报告应支持不执行业务工具的检查模式。具体 HTTP 字段、错误码、认证和用户界面尚待接口设计阶段细化。</w:t>
      </w:r>
    </w:p>
    <w:p>
      <w:r>
        <w:br w:type="page"/>
      </w:r>
    </w:p>
    <w:p>
      <w:pPr>
        <w:pStyle w:val="Kicker"/>
        <w:spacing w:after="80"/>
      </w:pPr>
      <w:r>
        <w:t>建议设计 / YAML 示例</w:t>
      </w:r>
    </w:p>
    <w:p>
      <w:bookmarkStart w:id="23" w:name="page_23"/>
      <w:pPr>
        <w:pStyle w:val="Heading1"/>
        <w:spacing w:before="0" w:after="200"/>
      </w:pPr>
      <w:r>
        <w:t>21  配置草案：系统与模型注册</w:t>
      </w:r>
      <w:bookmarkEnd w:id="23"/>
    </w:p>
    <w:p>
      <w:r>
        <w:t>以下配置用于说明结构，不是现有程序可直接运行的文件。模型 ID、端点和密钥引用必须来自实际已验证的模型注册表；示例不选择生产模型。</w:t>
      </w:r>
    </w:p>
    <w:p>
      <w:pPr>
        <w:pStyle w:val="CodeBlock"/>
        <w:keepNext/>
        <w:shd w:fill="F0F4F6"/>
        <w:spacing w:before="100"/>
      </w:pPr>
      <w:r>
        <w:rPr>
          <w:rFonts w:ascii="Noto Sans Mono CJK SC" w:hAnsi="Noto Sans Mono CJK SC" w:eastAsia="Noto Sans Mono CJK SC"/>
        </w:rPr>
        <w:t>schema_version: 1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runtime: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platform: linux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core_language: cpp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hierarchy: fixed_three_levels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team_shape: one_coordinator_one_worker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task_store: sqlite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model_change_policy: new_teams_only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unsupported_capability_policy: error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system_defaults: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model_ref: primary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reasoning: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mode: effort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level: high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models: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primary: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adapter: provider_specific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endpoint_ref: provider_primary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model_id: "&lt;verified-model-id&gt;"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credential_ref: "secret://models/primary"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capability_ref: "capabilities/primary"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worker_alt: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adapter: provider_specific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endpoint_ref: provider_secondary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model_id: "&lt;verified-alternative-model-id&gt;"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credential_ref: "secret://models/secondary"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capability_ref: "capabilities/worker_alt"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limits: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global_teams: "&lt;to-be-decided&gt;"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per_project_teams: "&lt;to-be-decided&gt;"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request_budget: "&lt;to-be-decided&gt;"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retries_and_deadlines: "&lt;policy-reference&gt;"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storage: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task_db: /var/lib/wls/state/tasks.db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workspaces_root: /var/lib/wls/teams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artifacts_root: /var/lib/wls/artifacts</w:t>
      </w:r>
    </w:p>
    <w:p>
      <w:pPr>
        <w:pStyle w:val="CodeBlock"/>
        <w:keepNext w:val="0"/>
        <w:shd w:fill="F0F4F6"/>
        <w:spacing w:after="140"/>
      </w:pPr>
      <w:r>
        <w:rPr>
          <w:rFonts w:ascii="Noto Sans Mono CJK SC" w:hAnsi="Noto Sans Mono CJK SC" w:eastAsia="Noto Sans Mono CJK SC"/>
        </w:rPr>
        <w:t xml:space="preserve">  shared_cache_root: /var/cache/wls</w:t>
      </w:r>
    </w:p>
    <w:p>
      <w:r>
        <w:t>路径属于建议部署布局；实际目录由管理员指定。工作空间与正式成果必须分离。系统默认值在团队创建时解析，能力表校验失败时不得启动。</w:t>
      </w:r>
    </w:p>
    <w:p>
      <w:r>
        <w:br w:type="page"/>
      </w:r>
    </w:p>
    <w:p>
      <w:pPr>
        <w:pStyle w:val="Kicker"/>
        <w:spacing w:after="80"/>
      </w:pPr>
      <w:r>
        <w:t>建议设计 / YAML 示例</w:t>
      </w:r>
    </w:p>
    <w:p>
      <w:bookmarkStart w:id="24" w:name="page_24"/>
      <w:pPr>
        <w:pStyle w:val="Heading1"/>
        <w:spacing w:before="0" w:after="200"/>
      </w:pPr>
      <w:r>
        <w:t>21  配置草案：功能 Agent 与团队</w:t>
      </w:r>
      <w:bookmarkEnd w:id="24"/>
    </w:p>
    <w:p>
      <w:pPr>
        <w:pStyle w:val="CodeBlock"/>
        <w:keepNext/>
        <w:shd w:fill="F0F4F6"/>
        <w:spacing w:before="100"/>
      </w:pPr>
      <w:r>
        <w:rPr>
          <w:rFonts w:ascii="Noto Sans Mono CJK SC" w:hAnsi="Noto Sans Mono CJK SC" w:eastAsia="Noto Sans Mono CJK SC"/>
        </w:rPr>
        <w:t>functional_agents: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- id: development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template_ref: function/development@1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root: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model_ref: primary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reasoning: {mode: effort, level: high}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tools_profile: root_control_only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team_template: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coordinator: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model_ref: null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reasoning: null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tools_profile: team_control_only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worker: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model_ref: worker_alt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reasoning: null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tools_profile: sandboxed_development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workflow_ref: development_with_review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- id: review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template_ref: function/review@1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root: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model_ref: primary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reasoning: {mode: effort, level: high}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tools_profile: root_control_only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team_template: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coordinator: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model_ref: null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reasoning: null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tools_profile: team_control_only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worker: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model_ref: null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reasoning: {mode: effort, level: medium}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      tools_profile: sandboxed_review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cache_policy: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context_order: stable_prefix_then_append_only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capability_source: endpoint_model_registry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readiness_coalescing: bounded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scope: authorized_domain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keepalive_with_dummy_requests: false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team_close_policy: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normal_close_requires: [accepted, handoff_confirmed]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preserve: [artifacts, audit_records, configuration_snapshot]</w:t>
      </w:r>
    </w:p>
    <w:p>
      <w:pPr>
        <w:pStyle w:val="CodeBlock"/>
        <w:keepNext w:val="0"/>
        <w:shd w:fill="F0F4F6"/>
        <w:spacing w:after="140"/>
      </w:pPr>
      <w:r>
        <w:rPr>
          <w:rFonts w:ascii="Noto Sans Mono CJK SC" w:hAnsi="Noto Sans Mono CJK SC" w:eastAsia="Noto Sans Mono CJK SC"/>
        </w:rPr>
        <w:t xml:space="preserve">  cleanup_scope: owned_temporary_workspace</w:t>
      </w:r>
    </w:p>
    <w:p>
      <w:r>
        <w:t>development 与 review 只是两个示例，可添加任意功能主 Agent。null 表示直接继承所属主 Agent；角色工具权限不能从 root 的工具集机械继承，而应受三级角色边界独立约束。所有别名、策略引用须先存在并通过验证。</w:t>
      </w:r>
    </w:p>
    <w:p>
      <w:r>
        <w:br w:type="page"/>
      </w:r>
    </w:p>
    <w:p>
      <w:pPr>
        <w:pStyle w:val="Kicker"/>
        <w:spacing w:after="80"/>
      </w:pPr>
      <w:r>
        <w:t>建议设计</w:t>
      </w:r>
    </w:p>
    <w:p>
      <w:bookmarkStart w:id="25" w:name="page_25"/>
      <w:pPr>
        <w:pStyle w:val="Heading1"/>
        <w:spacing w:before="0" w:after="200"/>
      </w:pPr>
      <w:r>
        <w:t>22  C++ 模块划分与内部接口</w:t>
      </w:r>
      <w:bookmarkEnd w:id="25"/>
    </w:p>
    <w:p>
      <w:pPr>
        <w:pStyle w:val="Heading2"/>
      </w:pPr>
      <w:r>
        <w:t>22.1  建议代码边界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969"/>
        <w:gridCol w:w="3175"/>
      </w:tblGrid>
      <w:tr>
        <w:trPr>
          <w:tblHeader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负责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不负责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core / task_engine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实体、状态机、版本检查、父子依赖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供应商 HTTP 细节与模型自由写数据库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orchestration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角色注册、团队调度、变更和交接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执行业务 Shell 命令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model_adapters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原生协议、流、工具事件、用量、能力校验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擅自改变模型、权限或任务目标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context / cache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上下文编排、配置指纹、缓存计划与诊断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将本地命中冒充服务端命中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extensions / interop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MCP、Skills、插件、A2A 适配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绕过任务准入及授权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execution / platform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孙 Agent 执行器、进程隔离、工作空间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替主 Agent 作出业务验收结论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storage / observability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事务、收发件箱、成果引用、指标与审计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无界保留日志或泄露凭据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</w:pPr>
      <w:r>
        <w:t>22.2  核心内部契约</w:t>
      </w:r>
    </w:p>
    <w:p>
      <w:pPr>
        <w:pStyle w:val="CodeBlock"/>
        <w:keepNext/>
        <w:shd w:fill="F0F4F6"/>
        <w:spacing w:before="100"/>
      </w:pPr>
      <w:r>
        <w:rPr>
          <w:rFonts w:ascii="Noto Sans Mono CJK SC" w:hAnsi="Noto Sans Mono CJK SC" w:eastAsia="Noto Sans Mono CJK SC"/>
        </w:rPr>
        <w:t>ModelAdapter: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capabilities(model_ref) -&gt; CapabilityProfile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validate(effective_config) -&gt; ValidationResult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stream(model_request) -&gt; ModelEvent stream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normalize_usage(raw_usage) -&gt; UsageRecord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ContextCompiler: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compile(role, snapshot, task_events) -&gt; ContextBundle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CachePlanner: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plan(context_bundle, capability) -&gt; ProviderCachePlan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>TaskEngine / LifecycleManager:</w:t>
      </w:r>
    </w:p>
    <w:p>
      <w:pPr>
        <w:pStyle w:val="CodeBlock"/>
        <w:keepNext/>
        <w:shd w:fill="F0F4F6"/>
      </w:pPr>
      <w:r>
        <w:rPr>
          <w:rFonts w:ascii="Noto Sans Mono CJK SC" w:hAnsi="Noto Sans Mono CJK SC" w:eastAsia="Noto Sans Mono CJK SC"/>
        </w:rPr>
        <w:t xml:space="preserve">  apply(command, expected_version) -&gt; TransitionResult</w:t>
      </w:r>
    </w:p>
    <w:p>
      <w:pPr>
        <w:pStyle w:val="CodeBlock"/>
        <w:keepNext w:val="0"/>
        <w:shd w:fill="F0F4F6"/>
        <w:spacing w:after="140"/>
      </w:pPr>
      <w:r>
        <w:rPr>
          <w:rFonts w:ascii="Noto Sans Mono CJK SC" w:hAnsi="Noto Sans Mono CJK SC" w:eastAsia="Noto Sans Mono CJK SC"/>
        </w:rPr>
        <w:t xml:space="preserve">  close_team(team_id, closure_authorization) -&gt; ClosureResult</w:t>
      </w:r>
    </w:p>
    <w:p>
      <w:r>
        <w:t>建议 C++20、CMake 与可锁定版本的依赖管理；JSON、YAML、HTTP/TLS、异步执行、日志和 SQLite 分别选择成熟组件，最终库清单待评审。协议实现可原生实现或封装辅助服务，保持接口可替换；C++ 核心不意味着所有第三方脚本必须改写成 C++。</w:t>
      </w:r>
    </w:p>
    <w:p>
      <w:r>
        <w:t>Linux 相关代码集中在平台层，后续 Windows 更换进程、路径、凭据与隔离实现。业务状态机、配置解析、模型适配和缓存计划尽量复用，不以“同一可执行文件”作为跨平台目标。</w:t>
      </w:r>
    </w:p>
    <w:p>
      <w:r>
        <w:br w:type="page"/>
      </w:r>
    </w:p>
    <w:p>
      <w:pPr>
        <w:pStyle w:val="Kicker"/>
        <w:spacing w:after="80"/>
      </w:pPr>
      <w:r>
        <w:t>建议规划 / 非已承诺排期</w:t>
      </w:r>
    </w:p>
    <w:p>
      <w:bookmarkStart w:id="26" w:name="page_26"/>
      <w:pPr>
        <w:pStyle w:val="Heading1"/>
        <w:spacing w:before="0" w:after="200"/>
      </w:pPr>
      <w:r>
        <w:t>23  建议实施阶段与完成标准</w:t>
      </w:r>
      <w:bookmarkEnd w:id="26"/>
    </w:p>
    <w:p>
      <w:r>
        <w:t>以下按依赖顺序推进，不给尚无实现依据的工期估算。各阶段完成标准应形成实际验证报告；阶段一可交付 Linux 可用闭环，但不代表已经覆盖全部端点和插件生态。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855"/>
        <w:gridCol w:w="4025"/>
      </w:tblGrid>
      <w:tr>
        <w:trPr>
          <w:tblHeader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主要产出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M0 规格与契约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需求基线、状态机、模型继承、能力表、交接契约、权限边界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R01—R18 可追踪；待定事项有负责人或安全默认值。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M1 Linux 核心闭环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核心服务、数据库、配置、两种任意功能模板、多团队、真实模型适配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请求到执行、变更、验收、交接和清理完整贯通；有隔离与恢复测试。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M2 扩展与互通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MCP Client/Server、标准 Skill 加载、A2A 双向入口、插件适配框架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真实生态任务往返，版本/权限/取消边界和兼容状态清楚。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M3 端点覆盖与缓存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按优先级增加原生/兼容/托管端点，缓存控制、用量与诊断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每个声明支持的能力有证据；代表性缓存与成本基线可复现。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M4 可靠性与运营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故障注入、预算与公平队列、日志保留、监控、管理界面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异常场景通过，磁盘与进程可回收，质量/费用/延迟可观察。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M5 Windows 与扩展部署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Windows 平台适配；按实际需求评估多机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不改变业务语义，平台与端点矩阵分别验收。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</w:pPr>
      <w:r>
        <w:t>23.1  从第一阶段就存在的能力</w:t>
      </w:r>
    </w:p>
    <w:p>
      <w:r>
        <w:t>版本检查、权限强制、持久化、团队关闭关口、配置来源和稳定上下文编排不能拖到后期补丁式加入。后续阶段扩展的是覆盖范围和成熟度，而非第一次引入这些基本防线。</w:t>
      </w:r>
    </w:p>
    <w:p>
      <w:pPr>
        <w:pStyle w:val="Heading2"/>
      </w:pPr>
      <w:r>
        <w:t>23.2  当前最主要的风险</w:t>
      </w:r>
    </w:p>
    <w:p>
      <w:r>
        <w:t>供应商能力变更以版本化能力表和回归验证控制；外部操作结果未知以幂等或人工核对控制；模型误判以证据和复核控制；跨模块冲突以依赖与集成流程控制；日志与成果增长以配额、保留期和可观测清理控制。</w:t>
      </w:r>
    </w:p>
    <w:p>
      <w:r>
        <w:br w:type="page"/>
      </w:r>
    </w:p>
    <w:p>
      <w:pPr>
        <w:pStyle w:val="Kicker"/>
        <w:spacing w:after="80"/>
      </w:pPr>
      <w:r>
        <w:t>拟定验收 / 尚未执行</w:t>
      </w:r>
    </w:p>
    <w:p>
      <w:bookmarkStart w:id="27" w:name="page_27"/>
      <w:pPr>
        <w:pStyle w:val="Heading1"/>
        <w:spacing w:before="0" w:after="200"/>
      </w:pPr>
      <w:r>
        <w:t>24  验收清单与需求追踪（上）</w:t>
      </w:r>
      <w:bookmarkEnd w:id="27"/>
    </w:p>
    <w:p>
      <w:r>
        <w:t>下表将用户需求转为可验证场景。通过标准属于本版建议，尚无执行结果；不得把本文当成测试报告。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531"/>
        <w:gridCol w:w="6180"/>
      </w:tblGrid>
      <w:tr>
        <w:trPr>
          <w:tblHeader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覆盖需求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场景与预期结果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AC01 通用模板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R01 R03 R04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创建开发、审查之外的第三种功能模板；仍使用固定三层机制，不改核心业务代码。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AC02 平台与核心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R02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Linux 能构建并运行真实任务；业务层不直接依赖 Linux 路径和进程 API。Windows 另行验收。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AC03 角色权限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R05 R06 R07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主、子尝试调用执行工具被拒绝；孙只能调用授权工具，不能创建第四层 Agent。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AC04 固定团队形态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R07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并行创建多个团队；每团队仅一名有效子 Agent 和一名有效孙 Agent，工具进程归属明确。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AC05 多请求隔离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R09 R10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同一主 Agent 并行处理两个项目、多模块和外部请求，反馈、成果和权限不串用。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AC06 异步接收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R08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保存任务后立即返回编号；主、子可继续处理其他事件，后续进度和结果能查询。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AC07 中途改向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R06 R08 R10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执行版本旧于目标版本时明确显示切换中；旧请求晚到不能覆盖最新要求。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AC08 替换与新增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R08 R10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分别提交 REPLACE 与 NEW；旧任务关系明确，新增不误取消原任务。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AC09 验收与交接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R05 R11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未验收、交接未确认或成果仅存在临时目录时，正常关闭请求被拒绝。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AC10 退出清理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R11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验收和交接后退出相关进程并清理临时空间；正式成果、模板和用户原件保持可用。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AC11 模型独立配置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R12 R13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组合测试模型/思考分别显式、缺失与 null；孙不继承子的覆盖值。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AC12 能力不匹配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R12 R14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模型不支持继承的思考设置时给出明确错误，不静默忽略或换模型。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r>
        <w:br w:type="page"/>
      </w:r>
    </w:p>
    <w:p>
      <w:pPr>
        <w:pStyle w:val="Kicker"/>
        <w:spacing w:after="80"/>
      </w:pPr>
      <w:r>
        <w:t>拟定验收 / 尚未执行</w:t>
      </w:r>
    </w:p>
    <w:p>
      <w:bookmarkStart w:id="28" w:name="page_28"/>
      <w:pPr>
        <w:pStyle w:val="Heading1"/>
        <w:spacing w:before="0" w:after="200"/>
      </w:pPr>
      <w:r>
        <w:t>24  验收清单与需求追踪（下）</w:t>
      </w:r>
      <w:bookmarkEnd w:id="2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531"/>
        <w:gridCol w:w="6180"/>
      </w:tblGrid>
      <w:tr>
        <w:trPr>
          <w:tblHeader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覆盖需求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场景与预期结果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AC13 端点矩阵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R14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逐个测试已声明端点的流式、工具往返、参数、认证和用量；未测试能力标为待验证。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AC14 MCP / Skill / 插件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R15 R16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接入真实 MCP 服务和技能包；缺依赖或宿主专用组件时报告具体兼容缺口。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AC15 双向互调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R17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外部 Agent 提交及查询本系统任务；本系统委派并取回结果；权限与关联编号完整。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AC16 稳定上下文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R18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相同输入反复编排得到同样的宿主前缀；动态状态不污染共享部分。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AC17 缓存用量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R18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按端点区分读取、写入和输入总量；未知字段不记零；显示冷/热与覆盖率。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AC18 缓存与正确性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R08 R10 R18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改向、压缩、权限撤销后新要求有效；不为命中率继续使用过期或越权内容。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AC19 重复与乱序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R10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重复派发、反馈和乱序消息不重复创建团队，不让旧完成事件关闭新版本任务。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AC20 崩溃恢复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R10 R11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在派单、执行、成果发布和清理阶段崩溃，恢复后核对副作用与旧进程，不盲目重跑。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AC21 审查一致性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R05 R09 R10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新提交到来后旧审查结论不误放行；并行模块经受控集成与当前版本验收。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AC22 路径与资源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R10 R11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路径越界、符号链接替换、残留进程和磁盘不足被拦截或报告，清理失败可重试。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AC23 配额与防卡死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R08 R10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资源满时公平排队，循环返工或长期无进展产生待决策事件，不无限消耗。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AC24 证据与反馈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R05 R08 R10</w:t>
            </w:r>
          </w:p>
        </w:tc>
        <w:tc>
          <w:tcPr>
            <w:tcW w:type="dxa" w:w="61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能从外部请求追溯团队、配置、变更、成果、审查、费用与清理；对外状态不相互矛盾。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r>
        <w:t>缓存目标值、性能规模和资源释放阈值在代表性工作负载确定后设定。结构一致性可做确定性验证，供应商命中与耗时需分别实测；没有可用凭据的端点不得标记为已通过。</w:t>
      </w:r>
    </w:p>
    <w:p>
      <w:r>
        <w:br w:type="page"/>
      </w:r>
    </w:p>
    <w:p>
      <w:pPr>
        <w:pStyle w:val="Kicker"/>
        <w:spacing w:after="80"/>
      </w:pPr>
      <w:r>
        <w:t>待确认事项</w:t>
      </w:r>
    </w:p>
    <w:p>
      <w:bookmarkStart w:id="29" w:name="page_29"/>
      <w:pPr>
        <w:pStyle w:val="Heading1"/>
        <w:spacing w:before="0" w:after="200"/>
      </w:pPr>
      <w:r>
        <w:t>25  待定事项与建议默认值</w:t>
      </w:r>
      <w:bookmarkEnd w:id="29"/>
    </w:p>
    <w:p>
      <w:r>
        <w:t>以下信息用户尚未明确，不能视为已经批准。建议默认值用于推进设计，不自动产生生产授权、消费或删除行为。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402"/>
        <w:gridCol w:w="5443"/>
      </w:tblGrid>
      <w:tr>
        <w:trPr>
          <w:tblHeader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待定事项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建议方向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Q01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首版端点清单及优先级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保留覆盖主流目标；按实际模型账号和业务需求确定首批原生、兼容、托管端点。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Q02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初始功能模板与角色数量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开发/Review 可作验收样例，同时用第三种模板验证通用性。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Q03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生产模型与思考默认值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由用户选择；不预设具体品牌、型号或自动降级。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Q04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Linux 发行版、CPU 架构与部署权限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明确系统版本及隔离可用性；先单机受控服务，不默认 root。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Q05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并发、费用、时限与资源上限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按机器和账户额度配置；为关键协作角色保留容量。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Q06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验收标准、争议与最终裁决者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每任务明确标准；高风险和反复分歧交给指定负责人。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Q07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长期成果与临时数据保留期限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配置成果、日志、失败材料、数据库归档和共享缓存的独立策略。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Q08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权限审批与网络边界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默认最小权限；外部写入、发布和敏感读取按政策审批。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Q09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多用户/租户与身份认证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数据模型保留隔离域；生产前确定账号、角色、密钥和回调认证。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Q10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插件生态首批适配范围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先确定真实需要的包，逐组件支持；不承诺全生态无修改兼容。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Q11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性能与缓存验收目标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先测代表性负载，再设角色/端点目标，不统一要求固定 95%。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Q12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Windows 与分布式阶段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保留平台层，Linux 稳定后按需求推进；不提前引入集群复杂度。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spacing w:before="120" w:after="160" w:line="288" w:lineRule="auto"/>
        <w:ind w:left="180" w:right="180"/>
        <w:shd w:fill="EAF2F5"/>
      </w:pPr>
      <w:r>
        <w:rPr>
          <w:sz w:val="19"/>
        </w:rPr>
        <w:t>待定事项不影响已确认的三层职责、直接继承、异步调整、统一协调及验收交接后清理等硬规则。任何为了实现方便而改变这些规则的提议，都需要明确提出变更。</w:t>
      </w:r>
    </w:p>
    <w:p>
      <w:r>
        <w:br w:type="page"/>
      </w:r>
    </w:p>
    <w:p>
      <w:pPr>
        <w:pStyle w:val="Kicker"/>
        <w:spacing w:after="80"/>
      </w:pPr>
      <w:r>
        <w:t>建议决策登记</w:t>
      </w:r>
    </w:p>
    <w:p>
      <w:bookmarkStart w:id="30" w:name="page_30"/>
      <w:pPr>
        <w:pStyle w:val="Heading1"/>
        <w:spacing w:before="0" w:after="200"/>
      </w:pPr>
      <w:r>
        <w:t>26  架构决策记录与变更管理</w:t>
      </w:r>
      <w:bookmarkEnd w:id="3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855"/>
        <w:gridCol w:w="4989"/>
      </w:tblGrid>
      <w:tr>
        <w:trPr>
          <w:tblHeader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建议决策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173448"/>
          </w:tcPr>
          <w:p>
            <w:pPr>
              <w:keepNext w:val="0"/>
              <w:spacing w:before="30" w:after="30" w:line="274" w:lineRule="auto"/>
            </w:pPr>
            <w:r>
              <w:rPr>
                <w:b/>
                <w:color w:val="FFFFFF"/>
                <w:sz w:val="18"/>
              </w:rPr>
              <w:t>理由与约束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单机 C++ 控制内核，状态持久化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控制逻辑不依赖模型记忆；先降低分布式复杂度。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逻辑主 Agent 与任务会话分离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稳定对外身份与并发任务隔离兼得。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团队固定一对子孙，有效执行代次受控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满足组织要求，恢复时防止双执行者提交。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版本化任务、事件与批准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旧指令、旧结果和旧审查不能覆盖当前要求。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模型与思考字段直接继承 root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遵守用户规则，保留配置来源与活动团队快照。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端点能力注册而非单一兼容标志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模型、API、部署和缓存差异可检验、可解释。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稳定上下文＋端点专用缓存计划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让全部功能 Agent 受益，不破坏角色权限和任务隔离。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验收/交接与资源清理分开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不误删唯一成果，清理失败可独立恢复。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任务写入与待发事件一起保存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减少状态已变但消息丢失的问题；仍以去重处理重复投递。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质量与总成本优先于命中率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bottom w:val="single" w:sz="3" w:color="D7E1E7"/>
            </w:tcBorders>
            <w:shd w:fill="F4F7F9"/>
          </w:tcPr>
          <w:p>
            <w:pPr>
              <w:keepNext w:val="0"/>
              <w:spacing w:before="30" w:after="30" w:line="274" w:lineRule="auto"/>
            </w:pPr>
            <w:r>
              <w:rPr>
                <w:b w:val="0"/>
                <w:sz w:val="18"/>
              </w:rPr>
              <w:t>禁止无意义填充、保活和未经授权的模型切换。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</w:pPr>
      <w:r>
        <w:t>26.1  后续文档维护</w:t>
      </w:r>
    </w:p>
    <w:p>
      <w:r>
        <w:t>需求更新保留 R 编号并记录来源，新增条款分配新编号。架构建议批准后在决策记录中标记状态、批准人和日期；被替代方案保留原因。接口、配置和数据库均有 schema_version，变更附迁移与兼容说明。</w:t>
      </w:r>
    </w:p>
    <w:p>
      <w:r>
        <w:t>维护版本化的需求—模块—验收追踪关系。端点资料核对与真实兼容测试分别记录；官方文档变化先更新能力登记，再执行回归测试，不自动覆盖活动团队的配置快照。</w:t>
      </w:r>
    </w:p>
    <w:p>
      <w:pPr>
        <w:pStyle w:val="Heading2"/>
      </w:pPr>
      <w:r>
        <w:t>26.2  本版基线总结</w:t>
      </w:r>
    </w:p>
    <w:p>
      <w:r>
        <w:t>以可配置功能主 Agent 为入口，以临时一对子孙团队为执行单元，以确定性控制内核保证任务有序，以版本和证据完成调整、验收与交接，以独立缓存设施提高复用，以生命周期模块安全回收。本文已形成可用于开发拆解的设计基线，但所有模块仍待实施与验证。</w:t>
      </w:r>
    </w:p>
    <w:p>
      <w:r>
        <w:br w:type="page"/>
      </w:r>
    </w:p>
    <w:p>
      <w:pPr>
        <w:pStyle w:val="Kicker"/>
        <w:spacing w:after="80"/>
      </w:pPr>
      <w:r>
        <w:t>资料核对日期：2026-10-16</w:t>
      </w:r>
    </w:p>
    <w:p>
      <w:bookmarkStart w:id="31" w:name="page_31"/>
      <w:pPr>
        <w:pStyle w:val="Heading1"/>
        <w:spacing w:before="0" w:after="200"/>
      </w:pPr>
      <w:r>
        <w:t>附录 A  官方参考资料（上）</w:t>
      </w:r>
      <w:bookmarkEnd w:id="31"/>
    </w:p>
    <w:p>
      <w:r>
        <w:t>下列来源仅支持文中标注的外部技术事实；本系统的角色、状态、配置和模块安排是本文件建议方案。使用官方资料不代表已经调用对应端点完成测试。参考标题可点击打开。</w:t>
      </w:r>
    </w:p>
    <w:p>
      <w:bookmarkStart w:id="32" w:name="ref_S01"/>
      <w:pPr>
        <w:pStyle w:val="SourceText"/>
        <w:keepNext/>
        <w:spacing w:before="100" w:after="40"/>
      </w:pPr>
      <w:bookmarkEnd w:id="32"/>
      <w:r>
        <w:rPr>
          <w:b/>
        </w:rPr>
        <w:t xml:space="preserve">[S01] </w:t>
      </w:r>
      <w:hyperlink r:id="rId12">
        <w:r>
          <w:rPr>
            <w:rFonts w:ascii="Noto Sans CJK SC" w:hAnsi="Noto Sans CJK SC" w:eastAsia="Noto Sans CJK SC" w:cs="Noto Sans CJK SC"/>
            <w:color w:val="247C83"/>
            <w:sz w:val="18"/>
            <w:b/>
          </w:rPr>
          <w:t xml:space="preserve">MCP：Specification</w:t>
        </w:r>
      </w:hyperlink>
    </w:p>
    <w:p>
      <w:pPr>
        <w:pStyle w:val="SourceText"/>
        <w:keepNext/>
        <w:spacing w:after="20"/>
      </w:pPr>
      <w:r>
        <w:t>协议基础、工具与资源、扩展和安全边界。</w:t>
      </w:r>
    </w:p>
    <w:p>
      <w:pPr>
        <w:pStyle w:val="SourceText"/>
        <w:spacing w:after="80"/>
      </w:pPr>
      <w:r>
        <w:rPr>
          <w:color w:val="5B6B77"/>
          <w:sz w:val="16"/>
        </w:rPr>
        <w:t>modelcontextprotocol.io  ·  核对：2026-10-16</w:t>
      </w:r>
    </w:p>
    <w:p>
      <w:bookmarkStart w:id="33" w:name="ref_S02"/>
      <w:pPr>
        <w:pStyle w:val="SourceText"/>
        <w:keepNext/>
        <w:spacing w:before="100" w:after="40"/>
      </w:pPr>
      <w:bookmarkEnd w:id="33"/>
      <w:r>
        <w:rPr>
          <w:b/>
        </w:rPr>
        <w:t xml:space="preserve">[S02] </w:t>
      </w:r>
      <w:hyperlink r:id="rId13">
        <w:r>
          <w:rPr>
            <w:rFonts w:ascii="Noto Sans CJK SC" w:hAnsi="Noto Sans CJK SC" w:eastAsia="Noto Sans CJK SC" w:cs="Noto Sans CJK SC"/>
            <w:color w:val="247C83"/>
            <w:sz w:val="18"/>
            <w:b/>
          </w:rPr>
          <w:t xml:space="preserve">Agent Skills：Specification</w:t>
        </w:r>
      </w:hyperlink>
    </w:p>
    <w:p>
      <w:pPr>
        <w:pStyle w:val="SourceText"/>
        <w:keepNext/>
        <w:spacing w:after="20"/>
      </w:pPr>
      <w:r>
        <w:t>SKILL.md 格式、目录与脚本依赖边界。</w:t>
      </w:r>
    </w:p>
    <w:p>
      <w:pPr>
        <w:pStyle w:val="SourceText"/>
        <w:spacing w:after="80"/>
      </w:pPr>
      <w:r>
        <w:rPr>
          <w:color w:val="5B6B77"/>
          <w:sz w:val="16"/>
        </w:rPr>
        <w:t>agentskills.io  ·  核对：2026-10-16</w:t>
      </w:r>
    </w:p>
    <w:p>
      <w:bookmarkStart w:id="34" w:name="ref_S03"/>
      <w:pPr>
        <w:pStyle w:val="SourceText"/>
        <w:keepNext/>
        <w:spacing w:before="100" w:after="40"/>
      </w:pPr>
      <w:bookmarkEnd w:id="34"/>
      <w:r>
        <w:rPr>
          <w:b/>
        </w:rPr>
        <w:t xml:space="preserve">[S03] </w:t>
      </w:r>
      <w:hyperlink r:id="rId14">
        <w:r>
          <w:rPr>
            <w:rFonts w:ascii="Noto Sans CJK SC" w:hAnsi="Noto Sans CJK SC" w:eastAsia="Noto Sans CJK SC" w:cs="Noto Sans CJK SC"/>
            <w:color w:val="247C83"/>
            <w:sz w:val="18"/>
            <w:b/>
          </w:rPr>
          <w:t xml:space="preserve">A2A：Protocol Specification</w:t>
        </w:r>
      </w:hyperlink>
    </w:p>
    <w:p>
      <w:pPr>
        <w:pStyle w:val="SourceText"/>
        <w:keepNext/>
        <w:spacing w:after="20"/>
      </w:pPr>
      <w:r>
        <w:t>发现、任务、异步更新、成果、取消和互通。</w:t>
      </w:r>
    </w:p>
    <w:p>
      <w:pPr>
        <w:pStyle w:val="SourceText"/>
        <w:spacing w:after="80"/>
      </w:pPr>
      <w:r>
        <w:rPr>
          <w:color w:val="5B6B77"/>
          <w:sz w:val="16"/>
        </w:rPr>
        <w:t>a2a-protocol.org  ·  核对：2026-10-16</w:t>
      </w:r>
    </w:p>
    <w:p>
      <w:bookmarkStart w:id="35" w:name="ref_S04"/>
      <w:pPr>
        <w:pStyle w:val="SourceText"/>
        <w:keepNext/>
        <w:spacing w:before="100" w:after="40"/>
      </w:pPr>
      <w:bookmarkEnd w:id="35"/>
      <w:r>
        <w:rPr>
          <w:b/>
        </w:rPr>
        <w:t xml:space="preserve">[S04] </w:t>
      </w:r>
      <w:hyperlink r:id="rId15">
        <w:r>
          <w:rPr>
            <w:rFonts w:ascii="Noto Sans CJK SC" w:hAnsi="Noto Sans CJK SC" w:eastAsia="Noto Sans CJK SC" w:cs="Noto Sans CJK SC"/>
            <w:color w:val="247C83"/>
            <w:sz w:val="18"/>
            <w:b/>
          </w:rPr>
          <w:t xml:space="preserve">OpenAI：Prompt caching</w:t>
        </w:r>
      </w:hyperlink>
    </w:p>
    <w:p>
      <w:pPr>
        <w:pStyle w:val="SourceText"/>
        <w:keepNext/>
        <w:spacing w:after="20"/>
      </w:pPr>
      <w:r>
        <w:t>模型相关缓存控制、前缀复用、设置差异与用量。</w:t>
      </w:r>
    </w:p>
    <w:p>
      <w:pPr>
        <w:pStyle w:val="SourceText"/>
        <w:spacing w:after="80"/>
      </w:pPr>
      <w:r>
        <w:rPr>
          <w:color w:val="5B6B77"/>
          <w:sz w:val="16"/>
        </w:rPr>
        <w:t>developers.openai.com  ·  核对：2026-10-16</w:t>
      </w:r>
    </w:p>
    <w:p>
      <w:bookmarkStart w:id="36" w:name="ref_S05"/>
      <w:pPr>
        <w:pStyle w:val="SourceText"/>
        <w:keepNext/>
        <w:spacing w:before="100" w:after="40"/>
      </w:pPr>
      <w:bookmarkEnd w:id="36"/>
      <w:r>
        <w:rPr>
          <w:b/>
        </w:rPr>
        <w:t xml:space="preserve">[S05] </w:t>
      </w:r>
      <w:hyperlink r:id="rId16">
        <w:r>
          <w:rPr>
            <w:rFonts w:ascii="Noto Sans CJK SC" w:hAnsi="Noto Sans CJK SC" w:eastAsia="Noto Sans CJK SC" w:cs="Noto Sans CJK SC"/>
            <w:color w:val="247C83"/>
            <w:sz w:val="18"/>
            <w:b/>
          </w:rPr>
          <w:t xml:space="preserve">Claude：Prompt caching</w:t>
        </w:r>
      </w:hyperlink>
    </w:p>
    <w:p>
      <w:pPr>
        <w:pStyle w:val="SourceText"/>
        <w:keepNext/>
        <w:spacing w:after="20"/>
      </w:pPr>
      <w:r>
        <w:t>缓存控制、读取/写入统计、总输入计算与保留规则。</w:t>
      </w:r>
    </w:p>
    <w:p>
      <w:pPr>
        <w:pStyle w:val="SourceText"/>
        <w:spacing w:after="80"/>
      </w:pPr>
      <w:r>
        <w:rPr>
          <w:color w:val="5B6B77"/>
          <w:sz w:val="16"/>
        </w:rPr>
        <w:t>platform.claude.com  ·  核对：2026-10-16</w:t>
      </w:r>
    </w:p>
    <w:p>
      <w:bookmarkStart w:id="37" w:name="ref_S06"/>
      <w:pPr>
        <w:pStyle w:val="SourceText"/>
        <w:keepNext/>
        <w:spacing w:before="100" w:after="40"/>
      </w:pPr>
      <w:bookmarkEnd w:id="37"/>
      <w:r>
        <w:rPr>
          <w:b/>
        </w:rPr>
        <w:t xml:space="preserve">[S06] </w:t>
      </w:r>
      <w:hyperlink r:id="rId17">
        <w:r>
          <w:rPr>
            <w:rFonts w:ascii="Noto Sans CJK SC" w:hAnsi="Noto Sans CJK SC" w:eastAsia="Noto Sans CJK SC" w:cs="Noto Sans CJK SC"/>
            <w:color w:val="247C83"/>
            <w:sz w:val="18"/>
            <w:b/>
          </w:rPr>
          <w:t xml:space="preserve">Claude：Tool use with prompt caching</w:t>
        </w:r>
      </w:hyperlink>
    </w:p>
    <w:p>
      <w:pPr>
        <w:pStyle w:val="SourceText"/>
        <w:keepNext/>
        <w:spacing w:after="20"/>
      </w:pPr>
      <w:r>
        <w:t>工具前缀顺序、延迟加载与设置失效规则。</w:t>
      </w:r>
    </w:p>
    <w:p>
      <w:pPr>
        <w:pStyle w:val="SourceText"/>
        <w:spacing w:after="80"/>
      </w:pPr>
      <w:r>
        <w:rPr>
          <w:color w:val="5B6B77"/>
          <w:sz w:val="16"/>
        </w:rPr>
        <w:t>platform.claude.com  ·  核对：2026-10-16</w:t>
      </w:r>
    </w:p>
    <w:p>
      <w:bookmarkStart w:id="38" w:name="ref_S07"/>
      <w:pPr>
        <w:pStyle w:val="SourceText"/>
        <w:keepNext/>
        <w:spacing w:before="100" w:after="40"/>
      </w:pPr>
      <w:bookmarkEnd w:id="38"/>
      <w:r>
        <w:rPr>
          <w:b/>
        </w:rPr>
        <w:t xml:space="preserve">[S07] </w:t>
      </w:r>
      <w:hyperlink r:id="rId18">
        <w:r>
          <w:rPr>
            <w:rFonts w:ascii="Noto Sans CJK SC" w:hAnsi="Noto Sans CJK SC" w:eastAsia="Noto Sans CJK SC" w:cs="Noto Sans CJK SC"/>
            <w:color w:val="247C83"/>
            <w:sz w:val="18"/>
            <w:b/>
          </w:rPr>
          <w:t xml:space="preserve">Google Gemini：Context caching</w:t>
        </w:r>
      </w:hyperlink>
    </w:p>
    <w:p>
      <w:pPr>
        <w:pStyle w:val="SourceText"/>
        <w:keepNext/>
        <w:spacing w:after="20"/>
      </w:pPr>
      <w:r>
        <w:t>API 与模型支持差异、隐式缓存及用量。</w:t>
      </w:r>
    </w:p>
    <w:p>
      <w:pPr>
        <w:pStyle w:val="SourceText"/>
        <w:spacing w:after="80"/>
      </w:pPr>
      <w:r>
        <w:rPr>
          <w:color w:val="5B6B77"/>
          <w:sz w:val="16"/>
        </w:rPr>
        <w:t>ai.google.dev  ·  核对：2026-10-16</w:t>
      </w:r>
    </w:p>
    <w:p>
      <w:bookmarkStart w:id="39" w:name="ref_S08"/>
      <w:pPr>
        <w:pStyle w:val="SourceText"/>
        <w:keepNext/>
        <w:spacing w:before="100" w:after="40"/>
      </w:pPr>
      <w:bookmarkEnd w:id="39"/>
      <w:r>
        <w:rPr>
          <w:b/>
        </w:rPr>
        <w:t xml:space="preserve">[S08] </w:t>
      </w:r>
      <w:hyperlink r:id="rId19">
        <w:r>
          <w:rPr>
            <w:rFonts w:ascii="Noto Sans CJK SC" w:hAnsi="Noto Sans CJK SC" w:eastAsia="Noto Sans CJK SC" w:cs="Noto Sans CJK SC"/>
            <w:color w:val="247C83"/>
            <w:sz w:val="18"/>
            <w:b/>
          </w:rPr>
          <w:t xml:space="preserve">Amazon Bedrock：Prompt caching</w:t>
        </w:r>
      </w:hyperlink>
    </w:p>
    <w:p>
      <w:pPr>
        <w:pStyle w:val="SourceText"/>
        <w:keepNext/>
        <w:spacing w:after="20"/>
      </w:pPr>
      <w:r>
        <w:t>托管模型的缓存支持、检查点与命中边界。</w:t>
      </w:r>
    </w:p>
    <w:p>
      <w:pPr>
        <w:pStyle w:val="SourceText"/>
        <w:spacing w:after="80"/>
      </w:pPr>
      <w:r>
        <w:rPr>
          <w:color w:val="5B6B77"/>
          <w:sz w:val="16"/>
        </w:rPr>
        <w:t>docs.aws.amazon.com  ·  核对：2026-10-16</w:t>
      </w:r>
    </w:p>
    <w:p>
      <w:bookmarkStart w:id="40" w:name="ref_S09"/>
      <w:pPr>
        <w:pStyle w:val="SourceText"/>
        <w:keepNext/>
        <w:spacing w:before="100" w:after="40"/>
      </w:pPr>
      <w:bookmarkEnd w:id="40"/>
      <w:r>
        <w:rPr>
          <w:b/>
        </w:rPr>
        <w:t xml:space="preserve">[S09] </w:t>
      </w:r>
      <w:hyperlink r:id="rId20">
        <w:r>
          <w:rPr>
            <w:rFonts w:ascii="Noto Sans CJK SC" w:hAnsi="Noto Sans CJK SC" w:eastAsia="Noto Sans CJK SC" w:cs="Noto Sans CJK SC"/>
            <w:color w:val="247C83"/>
            <w:sz w:val="18"/>
            <w:b/>
          </w:rPr>
          <w:t xml:space="preserve">Azure OpenAI：Prompt caching</w:t>
        </w:r>
      </w:hyperlink>
    </w:p>
    <w:p>
      <w:pPr>
        <w:pStyle w:val="SourceText"/>
        <w:keepNext/>
        <w:spacing w:after="20"/>
      </w:pPr>
      <w:r>
        <w:t>部署与模型相关缓存行为和统计字段。</w:t>
      </w:r>
    </w:p>
    <w:p>
      <w:pPr>
        <w:pStyle w:val="SourceText"/>
        <w:spacing w:after="80"/>
      </w:pPr>
      <w:r>
        <w:rPr>
          <w:color w:val="5B6B77"/>
          <w:sz w:val="16"/>
        </w:rPr>
        <w:t>learn.microsoft.com  ·  核对：2026-10-16</w:t>
      </w:r>
    </w:p>
    <w:p>
      <w:bookmarkStart w:id="41" w:name="ref_S10"/>
      <w:pPr>
        <w:pStyle w:val="SourceText"/>
        <w:keepNext/>
        <w:spacing w:before="100" w:after="40"/>
      </w:pPr>
      <w:bookmarkEnd w:id="41"/>
      <w:r>
        <w:rPr>
          <w:b/>
        </w:rPr>
        <w:t xml:space="preserve">[S10] </w:t>
      </w:r>
      <w:hyperlink r:id="rId21">
        <w:r>
          <w:rPr>
            <w:rFonts w:ascii="Noto Sans CJK SC" w:hAnsi="Noto Sans CJK SC" w:eastAsia="Noto Sans CJK SC" w:cs="Noto Sans CJK SC"/>
            <w:color w:val="247C83"/>
            <w:sz w:val="18"/>
            <w:b/>
          </w:rPr>
          <w:t xml:space="preserve">DeepSeek：Context Caching</w:t>
        </w:r>
      </w:hyperlink>
    </w:p>
    <w:p>
      <w:pPr>
        <w:pStyle w:val="SourceText"/>
        <w:keepNext/>
        <w:spacing w:after="20"/>
      </w:pPr>
      <w:r>
        <w:t>自动上下文缓存及端点特定行为。</w:t>
      </w:r>
    </w:p>
    <w:p>
      <w:pPr>
        <w:pStyle w:val="SourceText"/>
        <w:spacing w:after="80"/>
      </w:pPr>
      <w:r>
        <w:rPr>
          <w:color w:val="5B6B77"/>
          <w:sz w:val="16"/>
        </w:rPr>
        <w:t>api-docs.deepseek.com  ·  核对：2026-10-16</w:t>
      </w:r>
    </w:p>
    <w:p>
      <w:r>
        <w:br w:type="page"/>
      </w:r>
    </w:p>
    <w:p>
      <w:pPr>
        <w:pStyle w:val="Kicker"/>
        <w:spacing w:after="80"/>
      </w:pPr>
      <w:r>
        <w:t>资料核对日期：2026-10-16</w:t>
      </w:r>
    </w:p>
    <w:p>
      <w:bookmarkStart w:id="42" w:name="page_32"/>
      <w:pPr>
        <w:pStyle w:val="Heading1"/>
        <w:spacing w:before="0" w:after="200"/>
      </w:pPr>
      <w:r>
        <w:t>附录 A  官方参考资料（下）</w:t>
      </w:r>
      <w:bookmarkEnd w:id="42"/>
    </w:p>
    <w:p>
      <w:bookmarkStart w:id="43" w:name="ref_S11"/>
      <w:pPr>
        <w:pStyle w:val="SourceText"/>
        <w:keepNext/>
        <w:spacing w:before="100" w:after="40"/>
      </w:pPr>
      <w:bookmarkEnd w:id="43"/>
      <w:r>
        <w:rPr>
          <w:b/>
        </w:rPr>
        <w:t xml:space="preserve">[S11] </w:t>
      </w:r>
      <w:hyperlink r:id="rId22">
        <w:r>
          <w:rPr>
            <w:rFonts w:ascii="Noto Sans CJK SC" w:hAnsi="Noto Sans CJK SC" w:eastAsia="Noto Sans CJK SC" w:cs="Noto Sans CJK SC"/>
            <w:color w:val="247C83"/>
            <w:sz w:val="18"/>
            <w:b/>
          </w:rPr>
          <w:t xml:space="preserve">阿里云百炼：上下文缓存</w:t>
        </w:r>
      </w:hyperlink>
    </w:p>
    <w:p>
      <w:pPr>
        <w:pStyle w:val="SourceText"/>
        <w:keepNext/>
        <w:spacing w:after="20"/>
      </w:pPr>
      <w:r>
        <w:t>千问缓存机制、模型支持与使用方式。</w:t>
      </w:r>
    </w:p>
    <w:p>
      <w:pPr>
        <w:pStyle w:val="SourceText"/>
        <w:spacing w:after="80"/>
      </w:pPr>
      <w:r>
        <w:rPr>
          <w:color w:val="5B6B77"/>
          <w:sz w:val="16"/>
        </w:rPr>
        <w:t>help.aliyun.com  ·  核对：2026-10-16</w:t>
      </w:r>
    </w:p>
    <w:p>
      <w:bookmarkStart w:id="44" w:name="ref_S12"/>
      <w:pPr>
        <w:pStyle w:val="SourceText"/>
        <w:keepNext/>
        <w:spacing w:before="100" w:after="40"/>
      </w:pPr>
      <w:bookmarkEnd w:id="44"/>
      <w:r>
        <w:rPr>
          <w:b/>
        </w:rPr>
        <w:t xml:space="preserve">[S12] </w:t>
      </w:r>
      <w:hyperlink r:id="rId23">
        <w:r>
          <w:rPr>
            <w:rFonts w:ascii="Noto Sans CJK SC" w:hAnsi="Noto Sans CJK SC" w:eastAsia="Noto Sans CJK SC" w:cs="Noto Sans CJK SC"/>
            <w:color w:val="247C83"/>
            <w:sz w:val="18"/>
            <w:b/>
          </w:rPr>
          <w:t xml:space="preserve">vLLM：Automatic Prefix Caching</w:t>
        </w:r>
      </w:hyperlink>
    </w:p>
    <w:p>
      <w:pPr>
        <w:pStyle w:val="SourceText"/>
        <w:keepNext/>
        <w:spacing w:after="20"/>
      </w:pPr>
      <w:r>
        <w:t>前缀缓存的输入阶段收益与边界。</w:t>
      </w:r>
    </w:p>
    <w:p>
      <w:pPr>
        <w:pStyle w:val="SourceText"/>
        <w:spacing w:after="80"/>
      </w:pPr>
      <w:r>
        <w:rPr>
          <w:color w:val="5B6B77"/>
          <w:sz w:val="16"/>
        </w:rPr>
        <w:t>docs.vllm.ai  ·  核对：2026-10-16</w:t>
      </w:r>
    </w:p>
    <w:p>
      <w:bookmarkStart w:id="45" w:name="ref_S13"/>
      <w:pPr>
        <w:pStyle w:val="SourceText"/>
        <w:keepNext/>
        <w:spacing w:before="100" w:after="40"/>
      </w:pPr>
      <w:bookmarkEnd w:id="45"/>
      <w:r>
        <w:rPr>
          <w:b/>
        </w:rPr>
        <w:t xml:space="preserve">[S13] </w:t>
      </w:r>
      <w:hyperlink r:id="rId24">
        <w:r>
          <w:rPr>
            <w:rFonts w:ascii="Noto Sans CJK SC" w:hAnsi="Noto Sans CJK SC" w:eastAsia="Noto Sans CJK SC" w:cs="Noto Sans CJK SC"/>
            <w:color w:val="247C83"/>
            <w:sz w:val="18"/>
            <w:b/>
          </w:rPr>
          <w:t xml:space="preserve">vLLM：Prefix Caching Design</w:t>
        </w:r>
      </w:hyperlink>
    </w:p>
    <w:p>
      <w:pPr>
        <w:pStyle w:val="SourceText"/>
        <w:keepNext/>
        <w:spacing w:after="20"/>
      </w:pPr>
      <w:r>
        <w:t>前缀块匹配、哈希和隔离机制。</w:t>
      </w:r>
    </w:p>
    <w:p>
      <w:pPr>
        <w:pStyle w:val="SourceText"/>
        <w:spacing w:after="80"/>
      </w:pPr>
      <w:r>
        <w:rPr>
          <w:color w:val="5B6B77"/>
          <w:sz w:val="16"/>
        </w:rPr>
        <w:t>docs.vllm.ai  ·  核对：2026-10-16</w:t>
      </w:r>
    </w:p>
    <w:p>
      <w:bookmarkStart w:id="46" w:name="ref_S14"/>
      <w:pPr>
        <w:pStyle w:val="SourceText"/>
        <w:keepNext/>
        <w:spacing w:before="100" w:after="40"/>
      </w:pPr>
      <w:bookmarkEnd w:id="46"/>
      <w:r>
        <w:rPr>
          <w:b/>
        </w:rPr>
        <w:t xml:space="preserve">[S14] </w:t>
      </w:r>
      <w:hyperlink r:id="rId25">
        <w:r>
          <w:rPr>
            <w:rFonts w:ascii="Noto Sans CJK SC" w:hAnsi="Noto Sans CJK SC" w:eastAsia="Noto Sans CJK SC" w:cs="Noto Sans CJK SC"/>
            <w:color w:val="247C83"/>
            <w:sz w:val="18"/>
            <w:b/>
          </w:rPr>
          <w:t xml:space="preserve">SQLite：Write-Ahead Logging</w:t>
        </w:r>
      </w:hyperlink>
    </w:p>
    <w:p>
      <w:pPr>
        <w:pStyle w:val="SourceText"/>
        <w:keepNext/>
        <w:spacing w:after="20"/>
      </w:pPr>
      <w:r>
        <w:t>WAL 并发与写事务限制。</w:t>
      </w:r>
    </w:p>
    <w:p>
      <w:pPr>
        <w:pStyle w:val="SourceText"/>
        <w:spacing w:after="80"/>
      </w:pPr>
      <w:r>
        <w:rPr>
          <w:color w:val="5B6B77"/>
          <w:sz w:val="16"/>
        </w:rPr>
        <w:t>sqlite.org  ·  核对：2026-10-16</w:t>
      </w:r>
    </w:p>
    <w:p>
      <w:bookmarkStart w:id="47" w:name="ref_S15"/>
      <w:pPr>
        <w:pStyle w:val="SourceText"/>
        <w:keepNext/>
        <w:spacing w:before="100" w:after="40"/>
      </w:pPr>
      <w:bookmarkEnd w:id="47"/>
      <w:r>
        <w:rPr>
          <w:b/>
        </w:rPr>
        <w:t xml:space="preserve">[S15] </w:t>
      </w:r>
      <w:hyperlink r:id="rId26">
        <w:r>
          <w:rPr>
            <w:rFonts w:ascii="Noto Sans CJK SC" w:hAnsi="Noto Sans CJK SC" w:eastAsia="Noto Sans CJK SC" w:cs="Noto Sans CJK SC"/>
            <w:color w:val="247C83"/>
            <w:sz w:val="18"/>
            <w:b/>
          </w:rPr>
          <w:t xml:space="preserve">Linux Kernel：Control Group v2</w:t>
        </w:r>
      </w:hyperlink>
    </w:p>
    <w:p>
      <w:pPr>
        <w:pStyle w:val="SourceText"/>
        <w:keepNext/>
        <w:spacing w:after="20"/>
      </w:pPr>
      <w:r>
        <w:t>团队进程分组、资源控制和退出管理依据。</w:t>
      </w:r>
    </w:p>
    <w:p>
      <w:pPr>
        <w:pStyle w:val="SourceText"/>
        <w:spacing w:after="80"/>
      </w:pPr>
      <w:r>
        <w:rPr>
          <w:color w:val="5B6B77"/>
          <w:sz w:val="16"/>
        </w:rPr>
        <w:t>docs.kernel.org  ·  核对：2026-10-16</w:t>
      </w:r>
    </w:p>
    <w:p>
      <w:bookmarkStart w:id="48" w:name="ref_S16"/>
      <w:pPr>
        <w:pStyle w:val="SourceText"/>
        <w:keepNext/>
        <w:spacing w:before="100" w:after="40"/>
      </w:pPr>
      <w:bookmarkEnd w:id="48"/>
      <w:r>
        <w:rPr>
          <w:b/>
        </w:rPr>
        <w:t xml:space="preserve">[S16] </w:t>
      </w:r>
      <w:hyperlink r:id="rId27">
        <w:r>
          <w:rPr>
            <w:rFonts w:ascii="Noto Sans CJK SC" w:hAnsi="Noto Sans CJK SC" w:eastAsia="Noto Sans CJK SC" w:cs="Noto Sans CJK SC"/>
            <w:color w:val="247C83"/>
            <w:sz w:val="18"/>
            <w:b/>
          </w:rPr>
          <w:t xml:space="preserve">Git：git-worktree</w:t>
        </w:r>
      </w:hyperlink>
    </w:p>
    <w:p>
      <w:pPr>
        <w:pStyle w:val="SourceText"/>
        <w:keepNext/>
        <w:spacing w:after="20"/>
      </w:pPr>
      <w:r>
        <w:t>独立工作树及共享仓库资源边界。</w:t>
      </w:r>
    </w:p>
    <w:p>
      <w:pPr>
        <w:pStyle w:val="SourceText"/>
        <w:spacing w:after="80"/>
      </w:pPr>
      <w:r>
        <w:rPr>
          <w:color w:val="5B6B77"/>
          <w:sz w:val="16"/>
        </w:rPr>
        <w:t>git-scm.com  ·  核对：2026-10-16</w:t>
      </w:r>
    </w:p>
    <w:p>
      <w:bookmarkStart w:id="49" w:name="ref_S17"/>
      <w:pPr>
        <w:pStyle w:val="SourceText"/>
        <w:keepNext/>
        <w:spacing w:before="100" w:after="40"/>
      </w:pPr>
      <w:bookmarkEnd w:id="49"/>
      <w:r>
        <w:rPr>
          <w:b/>
        </w:rPr>
        <w:t xml:space="preserve">[S17] </w:t>
      </w:r>
      <w:hyperlink r:id="rId28">
        <w:r>
          <w:rPr>
            <w:rFonts w:ascii="Noto Sans CJK SC" w:hAnsi="Noto Sans CJK SC" w:eastAsia="Noto Sans CJK SC" w:cs="Noto Sans CJK SC"/>
            <w:color w:val="247C83"/>
            <w:sz w:val="18"/>
            <w:b/>
          </w:rPr>
          <w:t xml:space="preserve">Temporal：Handling Signals, Queries, and Updates</w:t>
        </w:r>
      </w:hyperlink>
    </w:p>
    <w:p>
      <w:pPr>
        <w:pStyle w:val="SourceText"/>
        <w:keepNext/>
        <w:spacing w:after="20"/>
      </w:pPr>
      <w:r>
        <w:t>异步消息接收/完成区别与并发处理参考。</w:t>
      </w:r>
    </w:p>
    <w:p>
      <w:pPr>
        <w:pStyle w:val="SourceText"/>
        <w:spacing w:after="80"/>
      </w:pPr>
      <w:r>
        <w:rPr>
          <w:color w:val="5B6B77"/>
          <w:sz w:val="16"/>
        </w:rPr>
        <w:t>docs.temporal.io  ·  核对：2026-10-16</w:t>
      </w:r>
    </w:p>
    <w:p>
      <w:bookmarkStart w:id="50" w:name="ref_S18"/>
      <w:pPr>
        <w:pStyle w:val="SourceText"/>
        <w:keepNext/>
        <w:spacing w:before="100" w:after="40"/>
      </w:pPr>
      <w:bookmarkEnd w:id="50"/>
      <w:r>
        <w:rPr>
          <w:b/>
        </w:rPr>
        <w:t xml:space="preserve">[S18] </w:t>
      </w:r>
      <w:hyperlink r:id="rId29">
        <w:r>
          <w:rPr>
            <w:rFonts w:ascii="Noto Sans CJK SC" w:hAnsi="Noto Sans CJK SC" w:eastAsia="Noto Sans CJK SC" w:cs="Noto Sans CJK SC"/>
            <w:color w:val="247C83"/>
            <w:sz w:val="18"/>
            <w:b/>
          </w:rPr>
          <w:t xml:space="preserve">Temporal：Activity Definition</w:t>
        </w:r>
      </w:hyperlink>
    </w:p>
    <w:p>
      <w:pPr>
        <w:pStyle w:val="SourceText"/>
        <w:keepNext/>
        <w:spacing w:after="20"/>
      </w:pPr>
      <w:r>
        <w:t>可重试操作、幂等与副作用控制参考。</w:t>
      </w:r>
    </w:p>
    <w:p>
      <w:pPr>
        <w:pStyle w:val="SourceText"/>
        <w:spacing w:after="80"/>
      </w:pPr>
      <w:r>
        <w:rPr>
          <w:color w:val="5B6B77"/>
          <w:sz w:val="16"/>
        </w:rPr>
        <w:t>docs.temporal.io  ·  核对：2026-10-16</w:t>
      </w:r>
    </w:p>
    <w:p>
      <w:bookmarkStart w:id="51" w:name="ref_S19"/>
      <w:pPr>
        <w:pStyle w:val="SourceText"/>
        <w:keepNext/>
        <w:spacing w:before="100" w:after="40"/>
      </w:pPr>
      <w:bookmarkEnd w:id="51"/>
      <w:r>
        <w:rPr>
          <w:b/>
        </w:rPr>
        <w:t xml:space="preserve">[S19] </w:t>
      </w:r>
      <w:hyperlink r:id="rId30">
        <w:r>
          <w:rPr>
            <w:rFonts w:ascii="Noto Sans CJK SC" w:hAnsi="Noto Sans CJK SC" w:eastAsia="Noto Sans CJK SC" w:cs="Noto Sans CJK SC"/>
            <w:color w:val="247C83"/>
            <w:sz w:val="18"/>
            <w:b/>
          </w:rPr>
          <w:t xml:space="preserve">Claude Code：Plugin manifest reference</w:t>
        </w:r>
      </w:hyperlink>
    </w:p>
    <w:p>
      <w:pPr>
        <w:pStyle w:val="SourceText"/>
        <w:keepNext/>
        <w:spacing w:after="20"/>
      </w:pPr>
      <w:r>
        <w:t>插件组件及平台专用能力的适配范围。</w:t>
      </w:r>
    </w:p>
    <w:p>
      <w:pPr>
        <w:pStyle w:val="SourceText"/>
        <w:spacing w:after="80"/>
      </w:pPr>
      <w:r>
        <w:rPr>
          <w:color w:val="5B6B77"/>
          <w:sz w:val="16"/>
        </w:rPr>
        <w:t>code.claude.com  ·  核对：2026-10-16</w:t>
      </w:r>
    </w:p>
    <w:p>
      <w:pPr>
        <w:pStyle w:val="Heading2"/>
      </w:pPr>
      <w:r>
        <w:t>来源使用与更新规则</w:t>
      </w:r>
    </w:p>
    <w:p>
      <w:r>
        <w:t>本版没有沿用未经核对的“最新型号”、统一缓存参数或固定价格。官方页面可能继续变化；实施时应记录实际模型、API、部署、官方来源、核对时间和测试结果。推荐将端点能力快照纳入版本管理。</w:t>
      </w:r>
    </w:p>
    <w:p>
      <w:r>
        <w:t>需求来源为本轮对话的用户表述，未引用私人项目文件，也没有假设已存在源代码或可访问的云电脑。本次产物仅为设计文档，不包含程序部署、外部账号修改或后台任务。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935" w:right="1134" w:bottom="907" w:left="1134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t>需求基线与建议架构 · 尚未实施</w:t>
    </w:r>
    <w:r>
      <w:tab/>
    </w:r>
    <w:r>
      <w:t xml:space="preserve">第 </w:t>
    </w:r>
    <w:r/>
    <w:fldSimple w:instr="PAGE">
      <w:r>
        <w:t>1</w:t>
      </w:r>
    </w:fldSimple>
    <w:r>
      <w:t xml:space="preserve"> / </w:t>
    </w:r>
    <w:r/>
    <w:fldSimple w:instr="NUMPAGES">
      <w:r>
        <w:t>1</w:t>
      </w:r>
    </w:fldSimple>
    <w: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WLS-MAS-SPEC-001    |    2026-10-16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spacing w:after="40"/>
      <w:pBdr>
        <w:bottom w:val="single" w:sz="6" w:color="D7E1E7"/>
      </w:pBdr>
    </w:pPr>
    <w:r>
      <w:t>无量山  /  通用多 Agent 系统</w:t>
    </w:r>
    <w:r>
      <w:tab/>
      <w:t>需求与架构设计 ·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Noto Sans CJK SC" w:hAnsi="Noto Sans CJK SC" w:eastAsia="Noto Sans CJK SC" w:cs="Noto Sans CJK SC"/>
      <w:b w:val="0"/>
      <w:color w:val="20323E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b w:val="0"/>
      <w:color w:val="5B6B77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b w:val="0"/>
      <w:color w:val="5B6B77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6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7344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6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47C8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69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47C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69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7344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 w:val="0"/>
      <w:bCs/>
      <w:color w:val="5B6B77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widowControl/>
      <w:spacing w:after="100" w:line="283" w:lineRule="auto"/>
    </w:pPr>
    <w:rPr>
      <w:rFonts w:ascii="Noto Sans CJK SC" w:hAnsi="Noto Sans CJK SC" w:eastAsia="Noto Sans CJK SC" w:cs="Noto Sans CJK SC"/>
      <w:b w:val="0"/>
      <w:color w:val="247C83"/>
      <w:sz w:val="16"/>
    </w:rPr>
  </w:style>
  <w:style w:type="paragraph" w:customStyle="1" w:styleId="BodySmall">
    <w:name w:val="BodySmall"/>
    <w:pPr>
      <w:widowControl/>
      <w:spacing w:after="100" w:line="283" w:lineRule="auto"/>
    </w:pPr>
    <w:rPr>
      <w:rFonts w:ascii="Noto Sans CJK SC" w:hAnsi="Noto Sans CJK SC" w:eastAsia="Noto Sans CJK SC" w:cs="Noto Sans CJK SC"/>
      <w:b w:val="0"/>
      <w:color w:val="20323E"/>
      <w:sz w:val="18"/>
    </w:rPr>
  </w:style>
  <w:style w:type="paragraph" w:customStyle="1" w:styleId="CodeBlock">
    <w:name w:val="CodeBlock"/>
    <w:pPr>
      <w:widowControl/>
      <w:spacing w:after="0" w:line="223" w:lineRule="exact"/>
      <w:ind w:left="180" w:right="180"/>
    </w:pPr>
    <w:rPr>
      <w:rFonts w:ascii="Noto Sans Mono CJK SC" w:hAnsi="Noto Sans Mono CJK SC" w:eastAsia="Noto Sans Mono CJK SC" w:cs="Noto Sans Mono CJK SC"/>
      <w:b w:val="0"/>
      <w:color w:val="20323E"/>
      <w:sz w:val="17"/>
    </w:rPr>
  </w:style>
  <w:style w:type="paragraph" w:customStyle="1" w:styleId="SourceText">
    <w:name w:val="SourceText"/>
    <w:pPr>
      <w:widowControl/>
      <w:spacing w:after="100" w:line="283" w:lineRule="auto"/>
    </w:pPr>
    <w:rPr>
      <w:rFonts w:ascii="Noto Sans CJK SC" w:hAnsi="Noto Sans CJK SC" w:eastAsia="Noto Sans CJK SC" w:cs="Noto Sans CJK SC"/>
      <w:b w:val="0"/>
      <w:color w:val="20323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modelcontextprotocol.io/specification/latest" TargetMode="External"/><Relationship Id="rId13" Type="http://schemas.openxmlformats.org/officeDocument/2006/relationships/hyperlink" Target="https://agentskills.io/specification" TargetMode="External"/><Relationship Id="rId14" Type="http://schemas.openxmlformats.org/officeDocument/2006/relationships/hyperlink" Target="https://a2a-protocol.org/latest/specification/" TargetMode="External"/><Relationship Id="rId15" Type="http://schemas.openxmlformats.org/officeDocument/2006/relationships/hyperlink" Target="https://developers.openai.com/api/docs/guides/prompt-caching" TargetMode="External"/><Relationship Id="rId16" Type="http://schemas.openxmlformats.org/officeDocument/2006/relationships/hyperlink" Target="https://platform.claude.com/docs/en/build-with-claude/prompt-caching" TargetMode="External"/><Relationship Id="rId17" Type="http://schemas.openxmlformats.org/officeDocument/2006/relationships/hyperlink" Target="https://platform.claude.com/docs/en/agents-and-tools/tool-use/tool-use-with-prompt-caching" TargetMode="External"/><Relationship Id="rId18" Type="http://schemas.openxmlformats.org/officeDocument/2006/relationships/hyperlink" Target="https://ai.google.dev/gemini-api/docs/caching" TargetMode="External"/><Relationship Id="rId19" Type="http://schemas.openxmlformats.org/officeDocument/2006/relationships/hyperlink" Target="https://docs.aws.amazon.com/bedrock/latest/userguide/prompt-caching.html" TargetMode="External"/><Relationship Id="rId20" Type="http://schemas.openxmlformats.org/officeDocument/2006/relationships/hyperlink" Target="https://learn.microsoft.com/en-us/azure/foundry/openai/how-to/prompt-caching" TargetMode="External"/><Relationship Id="rId21" Type="http://schemas.openxmlformats.org/officeDocument/2006/relationships/hyperlink" Target="https://api-docs.deepseek.com/guides/kv_cache/" TargetMode="External"/><Relationship Id="rId22" Type="http://schemas.openxmlformats.org/officeDocument/2006/relationships/hyperlink" Target="https://help.aliyun.com/zh/model-studio/context-cache" TargetMode="External"/><Relationship Id="rId23" Type="http://schemas.openxmlformats.org/officeDocument/2006/relationships/hyperlink" Target="https://docs.vllm.ai/en/stable/features/automatic_prefix_caching/" TargetMode="External"/><Relationship Id="rId24" Type="http://schemas.openxmlformats.org/officeDocument/2006/relationships/hyperlink" Target="https://docs.vllm.ai/en/stable/design/prefix_caching/" TargetMode="External"/><Relationship Id="rId25" Type="http://schemas.openxmlformats.org/officeDocument/2006/relationships/hyperlink" Target="https://sqlite.org/wal.html" TargetMode="External"/><Relationship Id="rId26" Type="http://schemas.openxmlformats.org/officeDocument/2006/relationships/hyperlink" Target="https://docs.kernel.org/admin-guide/cgroup-v2.html" TargetMode="External"/><Relationship Id="rId27" Type="http://schemas.openxmlformats.org/officeDocument/2006/relationships/hyperlink" Target="https://git-scm.com/docs/git-worktree" TargetMode="External"/><Relationship Id="rId28" Type="http://schemas.openxmlformats.org/officeDocument/2006/relationships/hyperlink" Target="https://docs.temporal.io/handling-messages" TargetMode="External"/><Relationship Id="rId29" Type="http://schemas.openxmlformats.org/officeDocument/2006/relationships/hyperlink" Target="https://docs.temporal.io/activity-definition" TargetMode="External"/><Relationship Id="rId30" Type="http://schemas.openxmlformats.org/officeDocument/2006/relationships/hyperlink" Target="https://code.claude.com/docs/en/plugins-refer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无量山：通用多 Agent 系统需求与架构设计</dc:title>
  <dc:subject>Linux 优先、C++ 核心、统一三层、多端点与高缓存架构</dc:subject>
  <dc:creator/>
  <cp:keywords>多Agent, C++, Linux, MCP, Agent Skills, A2A, Prompt Cache</cp:keywords>
  <dc:description>需求与建议设计文档；尚未实施。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