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2. Variables clínicas según severidad de sensibilidad corneal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1"/>
        <w:gridCol w:w="1632"/>
        <w:gridCol w:w="1632"/>
        <w:gridCol w:w="1632"/>
        <w:gridCol w:w="1632"/>
        <w:gridCol w:w="1181"/>
      </w:tblGrid>
      <w:tr>
        <w:trPr>
          <w:trHeight w:val="74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 ± 13.0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 ± 10.1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 ± 8.0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 ± 9.2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±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 ±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 ±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 ±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Glucemia reciente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185.7 ± 92.6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197.5 ± 87.1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181.3 ± 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198.4 ± 98.6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Tiempo de evolución DM2 (años)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 ± 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± 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 ±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 ±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Neuropatía periférica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2026-05-29T00:46:23Z</dcterms:modified>
  <cp:category/>
</cp:coreProperties>
</file>