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color w:val="1D4ED8"/>
          <w:sz w:val="20"/>
          <w:szCs w:val="20"/>
        </w:rPr>
        <w:t xml:space="preserve">WMT  |  Equity Research  |  Overweight  |  PT: $97</w:t>
      </w:r>
    </w:p>
    <w:p>
      <w:pPr>
        <w:spacing w:after="200"/>
      </w:pPr>
      <w:r>
        <w:rPr>
          <w:b/>
          <w:bCs/>
          <w:color w:val="0D1B2A"/>
          <w:sz w:val="24"/>
          <w:szCs w:val="24"/>
        </w:rPr>
        <w:t xml:space="preserve">WALMART INC. (WMT)  </w:t>
      </w:r>
      <w:r>
        <w:rPr>
          <w:color w:val="6B7280"/>
          <w:sz w:val="20"/>
          <w:szCs w:val="20"/>
        </w:rPr>
        <w:t xml:space="preserve">Equity Research  |  Consumer Staples  |  NYSE: WMT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F3F4F6" w:color="auto" w:val="clear"/>
            <w:tcMar>
              <w:top w:type="dxa" w:w="100"/>
              <w:left w:type="dxa" w:w="140"/>
              <w:bottom w:type="dxa" w:w="100"/>
              <w:right w:type="dxa" w:w="140"/>
            </w:tcMar>
            <w:vAlign w:val="center"/>
          </w:tcPr>
          <w:p>
            <w:pPr>
              <w:jc w:val="center"/>
            </w:pPr>
            <w:r>
              <w:rPr>
                <w:b/>
                <w:bCs/>
                <w:color w:val="666666"/>
                <w:sz w:val="16"/>
                <w:szCs w:val="16"/>
              </w:rPr>
              <w:t xml:space="preserve">Rating</w:t>
            </w:r>
          </w:p>
        </w:tc>
        <w:tc>
          <w:tcPr>
            <w:tcW w:type="dxa" w:w="2340"/>
            <w:tcBorders>
              <w:top w:val="single" w:color="CCCCCC" w:sz="4"/>
              <w:left w:val="single" w:color="CCCCCC" w:sz="4"/>
              <w:bottom w:val="single" w:color="CCCCCC" w:sz="4"/>
              <w:right w:val="single" w:color="CCCCCC" w:sz="4"/>
            </w:tcBorders>
            <w:shd w:fill="F3F4F6" w:color="auto" w:val="clear"/>
            <w:tcMar>
              <w:top w:type="dxa" w:w="100"/>
              <w:left w:type="dxa" w:w="140"/>
              <w:bottom w:type="dxa" w:w="100"/>
              <w:right w:type="dxa" w:w="140"/>
            </w:tcMar>
            <w:vAlign w:val="center"/>
          </w:tcPr>
          <w:p>
            <w:pPr>
              <w:jc w:val="center"/>
            </w:pPr>
            <w:r>
              <w:rPr>
                <w:b/>
                <w:bCs/>
                <w:color w:val="666666"/>
                <w:sz w:val="16"/>
                <w:szCs w:val="16"/>
              </w:rPr>
              <w:t xml:space="preserve">Price Target</w:t>
            </w:r>
          </w:p>
        </w:tc>
        <w:tc>
          <w:tcPr>
            <w:tcW w:type="dxa" w:w="2340"/>
            <w:tcBorders>
              <w:top w:val="single" w:color="CCCCCC" w:sz="4"/>
              <w:left w:val="single" w:color="CCCCCC" w:sz="4"/>
              <w:bottom w:val="single" w:color="CCCCCC" w:sz="4"/>
              <w:right w:val="single" w:color="CCCCCC" w:sz="4"/>
            </w:tcBorders>
            <w:shd w:fill="F3F4F6" w:color="auto" w:val="clear"/>
            <w:tcMar>
              <w:top w:type="dxa" w:w="100"/>
              <w:left w:type="dxa" w:w="140"/>
              <w:bottom w:type="dxa" w:w="100"/>
              <w:right w:type="dxa" w:w="140"/>
            </w:tcMar>
            <w:vAlign w:val="center"/>
          </w:tcPr>
          <w:p>
            <w:pPr>
              <w:jc w:val="center"/>
            </w:pPr>
            <w:r>
              <w:rPr>
                <w:b/>
                <w:bCs/>
                <w:color w:val="666666"/>
                <w:sz w:val="16"/>
                <w:szCs w:val="16"/>
              </w:rPr>
              <w:t xml:space="preserve">Current Price</w:t>
            </w:r>
          </w:p>
        </w:tc>
        <w:tc>
          <w:tcPr>
            <w:tcW w:type="dxa" w:w="2340"/>
            <w:tcBorders>
              <w:top w:val="single" w:color="CCCCCC" w:sz="4"/>
              <w:left w:val="single" w:color="CCCCCC" w:sz="4"/>
              <w:bottom w:val="single" w:color="CCCCCC" w:sz="4"/>
              <w:right w:val="single" w:color="CCCCCC" w:sz="4"/>
            </w:tcBorders>
            <w:shd w:fill="F3F4F6" w:color="auto" w:val="clear"/>
            <w:tcMar>
              <w:top w:type="dxa" w:w="100"/>
              <w:left w:type="dxa" w:w="140"/>
              <w:bottom w:type="dxa" w:w="100"/>
              <w:right w:type="dxa" w:w="140"/>
            </w:tcMar>
            <w:vAlign w:val="center"/>
          </w:tcPr>
          <w:p>
            <w:pPr>
              <w:jc w:val="center"/>
            </w:pPr>
            <w:r>
              <w:rPr>
                <w:b/>
                <w:bCs/>
                <w:color w:val="666666"/>
                <w:sz w:val="16"/>
                <w:szCs w:val="16"/>
              </w:rPr>
              <w:t xml:space="preserve">Implied Upside</w:t>
            </w:r>
          </w:p>
        </w:tc>
      </w:tr>
      <w:tr>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1D4ED8"/>
                <w:sz w:val="22"/>
                <w:szCs w:val="22"/>
              </w:rPr>
              <w:t xml:space="preserve">OVERWEIGHT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0D1B2A"/>
                <w:sz w:val="22"/>
                <w:szCs w:val="22"/>
              </w:rPr>
              <w:t xml:space="preserve">$97</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0D1B2A"/>
                <w:sz w:val="22"/>
                <w:szCs w:val="22"/>
              </w:rPr>
              <w:t xml:space="preserve">$95</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bCs/>
                <w:color w:val="0D1B2A"/>
                <w:sz w:val="22"/>
                <w:szCs w:val="22"/>
              </w:rPr>
              <w:t xml:space="preserve">+2.2%</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Report Date: April 2026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Sector: Consumer Staples / Retail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Exchange: NYSE  |  Shares: ~8.0B</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52-Week Range: $58 - $105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Market Cap: ~$762B</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Net Debt (FY2025A): ~$30B</w:t>
            </w:r>
          </w:p>
        </w:tc>
      </w:tr>
    </w:tbl>
    <w:p>
      <w:pPr>
        <w:spacing w:after="240"/>
      </w:pPr>
      <w:r>
        <w:t xml:space="preserve"/>
      </w:r>
    </w:p>
    <w:p>
      <w:pPr>
        <w:pStyle w:val="Heading2"/>
        <w:spacing w:after="140" w:before="240"/>
      </w:pPr>
      <w:r>
        <w:rPr>
          <w:b/>
          <w:bCs/>
          <w:color w:val="0D1B2A"/>
          <w:sz w:val="28"/>
          <w:szCs w:val="28"/>
        </w:rPr>
        <w:t xml:space="preserve">Executive Summary</w:t>
      </w:r>
    </w:p>
    <w:p>
      <w:pPr>
        <w:spacing w:after="160"/>
      </w:pPr>
      <w:r>
        <w:rPr>
          <w:sz w:val="22"/>
          <w:szCs w:val="22"/>
        </w:rPr>
        <w:t xml:space="preserve">We initiate coverage of Walmart Inc. (NYSE: WMT) with an </w:t>
      </w:r>
      <w:r>
        <w:rPr>
          <w:b/>
          <w:bCs/>
          <w:sz w:val="22"/>
          <w:szCs w:val="22"/>
        </w:rPr>
        <w:t xml:space="preserve">Overweight</w:t>
      </w:r>
      <w:r>
        <w:rPr>
          <w:sz w:val="22"/>
          <w:szCs w:val="22"/>
        </w:rPr>
        <w:t xml:space="preserve"> rating and a 12-month blended price target of </w:t>
      </w:r>
      <w:r>
        <w:rPr>
          <w:b/>
          <w:bCs/>
          <w:sz w:val="22"/>
          <w:szCs w:val="22"/>
        </w:rPr>
        <w:t xml:space="preserve">$97</w:t>
      </w:r>
      <w:r>
        <w:rPr>
          <w:sz w:val="22"/>
          <w:szCs w:val="22"/>
        </w:rPr>
        <w:t xml:space="preserve">, implying about 2.2% upside from the current price of $95. The rating is based on a 70% DCF / 30% comps weighting.</w:t>
      </w:r>
    </w:p>
    <w:p>
      <w:pPr>
        <w:spacing w:after="160"/>
      </w:pPr>
      <w:r>
        <w:rPr>
          <w:sz w:val="22"/>
          <w:szCs w:val="22"/>
        </w:rPr>
        <w:t xml:space="preserve">At first glance, Walmart does not look like a screaming buy. The stock already trades at roughly 18x EV/EBITDA, which is a premium to most traditional retail peers. But we think that misses the point. The core argument here is not that Walmart is cheap today. It is that Walmart is becoming a structurally different company, and the market has not fully priced that transition in yet.</w:t>
      </w:r>
    </w:p>
    <w:p>
      <w:pPr>
        <w:spacing w:after="200"/>
      </w:pPr>
      <w:r>
        <w:rPr>
          <w:sz w:val="22"/>
          <w:szCs w:val="22"/>
        </w:rPr>
        <w:t xml:space="preserve">Three revenue streams are driving the thesis: Walmart Connect (advertising), Walmart+ (membership), and Walmart Fulfillment Services (third-party logistics). These are not traditional retail revenue lines. They carry much higher margins than the core business and all three are growing fast. We project EBIT margin reaching 6.2% by FY2031, against consensus at around 4.8%. That 140bps gap is where the value is.</w:t>
      </w:r>
    </w:p>
    <w:p>
      <w:pPr>
        <w:pStyle w:val="Heading2"/>
        <w:spacing w:after="140" w:before="240"/>
      </w:pPr>
      <w:r>
        <w:rPr>
          <w:b/>
          <w:bCs/>
          <w:color w:val="0D1B2A"/>
          <w:sz w:val="28"/>
          <w:szCs w:val="28"/>
        </w:rPr>
        <w:t xml:space="preserve">Financial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tblHeader/>
        </w:trPr>
        <w:tc>
          <w:tcPr>
            <w:tcW w:type="dxa" w:w="216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6"/>
                <w:szCs w:val="16"/>
              </w:rPr>
              <w:t xml:space="preserve">($M unless noted)</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FY2024A</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FY2025A</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FY2026A</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FY2027E</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FY2028E</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FY2031E</w:t>
            </w:r>
          </w:p>
        </w:tc>
      </w:tr>
      <w:tr>
        <w:tc>
          <w:tcPr>
            <w:tcW w:type="dxa" w:w="21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6"/>
                <w:szCs w:val="16"/>
              </w:rPr>
              <w:t xml:space="preserve">Revenue</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$648,125</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$680,985</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$713,163</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$745,255</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$778,792</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$876,872</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6"/>
                <w:szCs w:val="16"/>
              </w:rPr>
              <w:t xml:space="preserve">Revenue Growth</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6.2%</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5.1%</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4.7%</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4.5%</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4.5%</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3.8%</w:t>
            </w:r>
          </w:p>
        </w:tc>
      </w:tr>
      <w:tr>
        <w:tc>
          <w:tcPr>
            <w:tcW w:type="dxa" w:w="21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6"/>
                <w:szCs w:val="16"/>
              </w:rPr>
              <w:t xml:space="preserve">Gross Profit</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$157,983</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$169,232</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$177,768</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$187,059</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$197,034</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$227,110</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6"/>
                <w:szCs w:val="16"/>
              </w:rPr>
              <w:t xml:space="preserve">Gross Margin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24.4%</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24.9%</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24.9%</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25.1%</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25.3%</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25.9%</w:t>
            </w:r>
          </w:p>
        </w:tc>
      </w:tr>
      <w:tr>
        <w:tc>
          <w:tcPr>
            <w:tcW w:type="dxa" w:w="21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6"/>
                <w:szCs w:val="16"/>
              </w:rPr>
              <w:t xml:space="preserve">EBIT</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$27,012</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$29,348</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$29,825</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$34,282</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$38,940</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$54,366</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6"/>
                <w:szCs w:val="16"/>
              </w:rPr>
              <w:t xml:space="preserve">EBIT Margin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4.2%</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4.3%</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4.2%</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4.6%</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5.0%</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6.2%</w:t>
            </w:r>
          </w:p>
        </w:tc>
      </w:tr>
      <w:tr>
        <w:tc>
          <w:tcPr>
            <w:tcW w:type="dxa" w:w="21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6"/>
                <w:szCs w:val="16"/>
              </w:rPr>
              <w:t xml:space="preserve">EBITDA</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$38,865</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$42,321</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$44,028</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$49,187</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$54,515</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$71,904</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6"/>
                <w:szCs w:val="16"/>
              </w:rPr>
              <w:t xml:space="preserve">EBITDA Margin</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6.0%</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6.2%</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6.2%</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6.6%</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7.0%</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8.2%</w:t>
            </w:r>
          </w:p>
        </w:tc>
      </w:tr>
      <w:tr>
        <w:tc>
          <w:tcPr>
            <w:tcW w:type="dxa" w:w="21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6"/>
                <w:szCs w:val="16"/>
              </w:rPr>
              <w:t xml:space="preserve">Net Income</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$16,270</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$20,157</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$22,270</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$25,444</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$28,938</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$40,508</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6"/>
                <w:szCs w:val="16"/>
              </w:rPr>
              <w:t xml:space="preserve">EPS (Diluted)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$1.91</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$2.41</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$2.73</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$3.20</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$3.67</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6"/>
                <w:szCs w:val="16"/>
              </w:rPr>
              <w:t xml:space="preserve">$5.28</w:t>
            </w:r>
          </w:p>
        </w:tc>
      </w:tr>
      <w:tr>
        <w:tc>
          <w:tcPr>
            <w:tcW w:type="dxa" w:w="21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6"/>
                <w:szCs w:val="16"/>
              </w:rPr>
              <w:t xml:space="preserve">Free Cash Flow</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$15,370</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$13,092</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$15,029</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$13,648</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$17,366</w:t>
            </w:r>
          </w:p>
        </w:tc>
        <w:tc>
          <w:tcPr>
            <w:tcW w:type="dxa" w:w="120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6"/>
                <w:szCs w:val="16"/>
              </w:rPr>
              <w:t xml:space="preserve">$32,677</w:t>
            </w:r>
          </w:p>
        </w:tc>
      </w:tr>
    </w:tbl>
    <w:p>
      <w:pPr>
        <w:spacing w:after="240" w:before="80"/>
      </w:pPr>
      <w:r>
        <w:rPr>
          <w:i/>
          <w:iCs/>
          <w:color w:val="6B7280"/>
          <w:sz w:val="14"/>
          <w:szCs w:val="14"/>
        </w:rPr>
        <w:t xml:space="preserve">Source: Macrotrends, WMT 10-K filings. Projections are model estimates. Fiscal year ends January 31.</w:t>
      </w:r>
    </w:p>
    <w:p>
      <w:pPr>
        <w:pStyle w:val="Heading2"/>
        <w:spacing w:after="140" w:before="240"/>
      </w:pPr>
      <w:r>
        <w:rPr>
          <w:b/>
          <w:bCs/>
          <w:color w:val="0D1B2A"/>
          <w:sz w:val="28"/>
          <w:szCs w:val="28"/>
        </w:rPr>
        <w:t xml:space="preserve">Investment Thesis</w:t>
      </w:r>
    </w:p>
    <w:p>
      <w:pPr>
        <w:spacing w:after="200"/>
      </w:pPr>
      <w:r>
        <w:rPr>
          <w:sz w:val="22"/>
          <w:szCs w:val="22"/>
        </w:rPr>
        <w:t xml:space="preserve">Walmart's business model is changing in ways that a traditional retail income statement does not make obvious. On the surface, you see a $713B revenue company with 4.2% EBIT margins. That looks like a grocer with a lot of stores. Underneath that, three things are happening that will move margins meaningfully over the next five years.</w:t>
      </w:r>
    </w:p>
    <w:p>
      <w:pPr>
        <w:pStyle w:val="Heading3"/>
        <w:spacing w:after="100" w:before="180"/>
      </w:pPr>
      <w:r>
        <w:rPr>
          <w:b/>
          <w:bCs/>
          <w:color w:val="0D1B2A"/>
          <w:sz w:val="22"/>
          <w:szCs w:val="22"/>
        </w:rPr>
        <w:t xml:space="preserve">1. Advertising Is a Margin Machine</w:t>
      </w:r>
    </w:p>
    <w:p>
      <w:pPr>
        <w:spacing w:after="160"/>
      </w:pPr>
      <w:r>
        <w:rPr>
          <w:sz w:val="22"/>
          <w:szCs w:val="22"/>
        </w:rPr>
        <w:t xml:space="preserve">Walmart Connect, the company's retail media network, is now a $3-4B annual revenue business growing at 20-30% per year. Advertising carries gross margins of around 70-80%, versus Walmart's blended gross margin of roughly 25%. Every dollar of ad revenue that flows through the platform contributes to operating income at a completely different rate than a dollar of grocery revenue.</w:t>
      </w:r>
    </w:p>
    <w:p>
      <w:pPr>
        <w:spacing w:after="160"/>
      </w:pPr>
      <w:r>
        <w:rPr>
          <w:sz w:val="22"/>
          <w:szCs w:val="22"/>
        </w:rPr>
        <w:t xml:space="preserve">To put a number on it: a $1 increase in ad revenue is worth roughly 15 times more to EBIT than a $1 increase in grocery revenue, after accounting for the margin difference. At the current growth rate, Walmart Connect could reach $8-10B in revenue within four to five years. That scale matters even on a $700B+ revenue base.</w:t>
      </w:r>
    </w:p>
    <w:p>
      <w:pPr>
        <w:spacing w:after="200"/>
      </w:pPr>
      <w:r>
        <w:rPr>
          <w:sz w:val="22"/>
          <w:szCs w:val="22"/>
        </w:rPr>
        <w:t xml:space="preserve">Amazon ran this exact playbook already. Amazon's advertising segment now generates over $50B annually and is a core reason its operating margins look nothing like a pure retailer. Walmart is following the same path, just earlier in the curve.</w:t>
      </w:r>
    </w:p>
    <w:p>
      <w:pPr>
        <w:pStyle w:val="Heading3"/>
        <w:spacing w:after="100" w:before="180"/>
      </w:pPr>
      <w:r>
        <w:rPr>
          <w:b/>
          <w:bCs/>
          <w:color w:val="0D1B2A"/>
          <w:sz w:val="22"/>
          <w:szCs w:val="22"/>
        </w:rPr>
        <w:t xml:space="preserve">2. Walmart+ Is About More Than Free Delivery</w:t>
      </w:r>
    </w:p>
    <w:p>
      <w:pPr>
        <w:spacing w:after="160"/>
      </w:pPr>
      <w:r>
        <w:rPr>
          <w:sz w:val="22"/>
          <w:szCs w:val="22"/>
        </w:rPr>
        <w:t xml:space="preserve">Walmart+ is priced at $98 per year or $12.95 per month. At a rough estimate of 25 million paying subscribers, that is about $2.5B in annual subscription revenue running at high margins before member benefits are factored in. The more important number is basket size. Walmart+ members spend approximately two to three times more annually than non-members. The program pays for itself many times over through incremental transaction volume.</w:t>
      </w:r>
    </w:p>
    <w:p>
      <w:pPr>
        <w:spacing w:after="200"/>
      </w:pPr>
      <w:r>
        <w:rPr>
          <w:sz w:val="22"/>
          <w:szCs w:val="22"/>
        </w:rPr>
        <w:t xml:space="preserve">The subscriber base is still growing and is nowhere near saturation. Every new member adds high-margin recurring revenue on top of an existing retail relationship. This is not a loyalty points program. It is a recurring revenue layer built on top of a business that already has 90% of the U.S. population living within 10 miles of a Walmart store.</w:t>
      </w:r>
    </w:p>
    <w:p>
      <w:pPr>
        <w:pStyle w:val="Heading3"/>
        <w:spacing w:after="100" w:before="180"/>
      </w:pPr>
      <w:r>
        <w:rPr>
          <w:b/>
          <w:bCs/>
          <w:color w:val="0D1B2A"/>
          <w:sz w:val="22"/>
          <w:szCs w:val="22"/>
        </w:rPr>
        <w:t xml:space="preserve">3. The Capex Cycle Is About to Turn</w:t>
      </w:r>
    </w:p>
    <w:p>
      <w:pPr>
        <w:spacing w:after="160"/>
      </w:pPr>
      <w:r>
        <w:rPr>
          <w:sz w:val="22"/>
          <w:szCs w:val="22"/>
        </w:rPr>
        <w:t xml:space="preserve">Walmart has been investing heavily in fulfillment infrastructure. Capital expenditure went from about 2% of revenue in FY2020 to 3.7% in FY2026. That has been a headwind to free cash flow. We model capex peaking in FY2027E at around 3.7% of revenue, then declining to 3.0% by FY2031E as the buildout completes.</w:t>
      </w:r>
    </w:p>
    <w:p>
      <w:pPr>
        <w:spacing w:after="200"/>
      </w:pPr>
      <w:r>
        <w:rPr>
          <w:sz w:val="22"/>
          <w:szCs w:val="22"/>
        </w:rPr>
        <w:t xml:space="preserve">Once that infrastructure is built, Walmart can monetize it as a service to third-party sellers through Walmart Fulfillment Services and GoLocal. Infrastructure that was a cost center becomes a fee-generating asset. The capex decline alone adds roughly $5B+ to annual free cash flow by FY2031E compared to the peak year. The market is currently pricing in permanent capex intensity. That assumption is wrong.</w:t>
      </w:r>
    </w:p>
    <w:p>
      <w:pPr>
        <w:pStyle w:val="Heading3"/>
        <w:spacing w:after="100" w:before="180"/>
      </w:pPr>
      <w:r>
        <w:rPr>
          <w:b/>
          <w:bCs/>
          <w:color w:val="0D1B2A"/>
          <w:sz w:val="22"/>
          <w:szCs w:val="22"/>
        </w:rPr>
        <w:t xml:space="preserve">Our View vs. Consensus</w:t>
      </w:r>
    </w:p>
    <w:p>
      <w:pPr>
        <w:spacing w:after="240"/>
      </w:pPr>
      <w:r>
        <w:rPr>
          <w:sz w:val="22"/>
          <w:szCs w:val="22"/>
        </w:rPr>
        <w:t xml:space="preserve">Consensus has Walmart at roughly 4.8% EBIT margin by FY2031. We are at 6.2%. That works out to about 40bps of annual improvement on average, anchored by revenue streams that are already generating real money and growing at double-digit rates. The consensus number reflects Walmart-as-retailer. Our number reflects Walmart-as-platform.</w:t>
      </w:r>
    </w:p>
    <w:p>
      <w:pPr>
        <w:pStyle w:val="Heading2"/>
        <w:spacing w:after="140" w:before="240"/>
      </w:pPr>
      <w:r>
        <w:rPr>
          <w:b/>
          <w:bCs/>
          <w:color w:val="0D1B2A"/>
          <w:sz w:val="28"/>
          <w:szCs w:val="28"/>
        </w:rPr>
        <w:t xml:space="preserve">Business Overview</w:t>
      </w:r>
    </w:p>
    <w:p>
      <w:pPr>
        <w:spacing w:after="160"/>
      </w:pPr>
      <w:r>
        <w:rPr>
          <w:sz w:val="22"/>
          <w:szCs w:val="22"/>
        </w:rPr>
        <w:t xml:space="preserve">Walmart operates more than 10,500 stores and clubs across 19 countries. The company generated $713B in revenue in FY2026, up from $514B in FY2019, a CAGR of about 4.8%. That is above-GDP growth for a company at this scale.</w:t>
      </w:r>
    </w:p>
    <w:p>
      <w:pPr>
        <w:spacing w:after="160"/>
      </w:pPr>
      <w:r>
        <w:rPr>
          <w:sz w:val="22"/>
          <w:szCs w:val="22"/>
        </w:rPr>
        <w:t xml:space="preserve">The business runs across three segments. Walmart U.S. is the largest at roughly 64% of total revenue. Sam's Club contributes about 13%, and Walmart International covers the remaining 23%, including strong positions in Mexico through Walmex, Canada, China, and India through Flipkart.</w:t>
      </w:r>
    </w:p>
    <w:p>
      <w:pPr>
        <w:spacing w:after="240"/>
      </w:pPr>
      <w:r>
        <w:rPr>
          <w:sz w:val="22"/>
          <w:szCs w:val="22"/>
        </w:rPr>
        <w:t xml:space="preserve">E-commerce now represents approximately 18% of Walmart U.S. segment revenue and is growing faster than stores. The push into advertising, membership, and fulfillment services sits on top of this digital infrastructure. These are not side businesses. They are becoming core to how Walmart generates profit.</w:t>
      </w:r>
    </w:p>
    <w:p>
      <w:pPr>
        <w:pStyle w:val="Heading2"/>
        <w:spacing w:after="140" w:before="240"/>
      </w:pPr>
      <w:r>
        <w:rPr>
          <w:b/>
          <w:bCs/>
          <w:color w:val="0D1B2A"/>
          <w:sz w:val="28"/>
          <w:szCs w:val="28"/>
        </w:rPr>
        <w:t xml:space="preserve">Financial Analysis</w:t>
      </w:r>
    </w:p>
    <w:p>
      <w:pPr>
        <w:pStyle w:val="Heading3"/>
        <w:spacing w:after="100" w:before="180"/>
      </w:pPr>
      <w:r>
        <w:rPr>
          <w:b/>
          <w:bCs/>
          <w:color w:val="0D1B2A"/>
          <w:sz w:val="22"/>
          <w:szCs w:val="22"/>
        </w:rPr>
        <w:t xml:space="preserve">Revenue</w:t>
      </w:r>
    </w:p>
    <w:p>
      <w:pPr>
        <w:spacing w:after="200"/>
      </w:pPr>
      <w:r>
        <w:rPr>
          <w:sz w:val="22"/>
          <w:szCs w:val="22"/>
        </w:rPr>
        <w:t xml:space="preserve">Revenue has grown from $514B in FY2019 to $713B in FY2026. Growth was pulled forward during FY2021 as pandemic spending shifted toward grocery and essentials, then normalized in the 4-5% range post-pandemic. We model 4.5% growth in FY2027E, tapering to 3.8% by FY2031E. At $700B+ in revenue, you do not need heroic top-line assumptions to make this work. The margin story is what matters.</w:t>
      </w:r>
    </w:p>
    <w:p>
      <w:pPr>
        <w:pStyle w:val="Heading3"/>
        <w:spacing w:after="100" w:before="180"/>
      </w:pPr>
      <w:r>
        <w:rPr>
          <w:b/>
          <w:bCs/>
          <w:color w:val="0D1B2A"/>
          <w:sz w:val="22"/>
          <w:szCs w:val="22"/>
        </w:rPr>
        <w:t xml:space="preserve">Margins</w:t>
      </w:r>
    </w:p>
    <w:p>
      <w:pPr>
        <w:spacing w:after="160"/>
      </w:pPr>
      <w:r>
        <w:rPr>
          <w:sz w:val="22"/>
          <w:szCs w:val="22"/>
        </w:rPr>
        <w:t xml:space="preserve">Gross margin has been stable in the 24-25% range for several years. The interesting part is at the EBIT level. Margin dropped to 3.3% in FY2023 due to inventory markdowns and cost pressure, then recovered to 4.2% in FY2026. That recovery happened while capex was still rising, which means the underlying business mix was already improving even as investment headwinds were present.</w:t>
      </w:r>
    </w:p>
    <w:p>
      <w:pPr>
        <w:spacing w:after="200"/>
      </w:pPr>
      <w:r>
        <w:rPr>
          <w:sz w:val="22"/>
          <w:szCs w:val="22"/>
        </w:rPr>
        <w:t xml:space="preserve">Our FY2031E EBIT margin projection of 6.2% is benchmarked against the pace of improvement already visible in the results and the revenue growth rates of the three high-margin segments. Consensus at 4.8% essentially assumes the mix shift stops contributing meaningfully after FY2027. We think that is wrong.</w:t>
      </w:r>
    </w:p>
    <w:p>
      <w:pPr>
        <w:pStyle w:val="Heading3"/>
        <w:spacing w:after="100" w:before="180"/>
      </w:pPr>
      <w:r>
        <w:rPr>
          <w:b/>
          <w:bCs/>
          <w:color w:val="0D1B2A"/>
          <w:sz w:val="22"/>
          <w:szCs w:val="22"/>
        </w:rPr>
        <w:t xml:space="preserve">Free Cash Flow</w:t>
      </w:r>
    </w:p>
    <w:p>
      <w:pPr>
        <w:spacing w:after="240"/>
      </w:pPr>
      <w:r>
        <w:rPr>
          <w:sz w:val="22"/>
          <w:szCs w:val="22"/>
        </w:rPr>
        <w:t xml:space="preserve">Cash flow from operations was $41.6B in FY2026. After capex of $26.5B, free cash flow was $15B. That number looks modest relative to earnings because the capex cycle is still at its peak. As capex as a percentage of revenue declines from 3.7% to 3.0% between FY2027E and FY2031E, we project FCF growing from $13.6B to $32.7B. That is more than a doubling in five years, mostly driven by capex normalization and margin expansion working together.</w:t>
      </w:r>
    </w:p>
    <w:p>
      <w:pPr>
        <w:pStyle w:val="Heading2"/>
        <w:spacing w:after="140" w:before="240"/>
      </w:pPr>
      <w:r>
        <w:rPr>
          <w:b/>
          <w:bCs/>
          <w:color w:val="0D1B2A"/>
          <w:sz w:val="28"/>
          <w:szCs w:val="28"/>
        </w:rPr>
        <w:t xml:space="preserve">Valuation</w:t>
      </w:r>
    </w:p>
    <w:p>
      <w:pPr>
        <w:pStyle w:val="Heading3"/>
        <w:spacing w:after="100" w:before="180"/>
      </w:pPr>
      <w:r>
        <w:rPr>
          <w:b/>
          <w:bCs/>
          <w:color w:val="0D1B2A"/>
          <w:sz w:val="22"/>
          <w:szCs w:val="22"/>
        </w:rPr>
        <w:t xml:space="preserve">DCF Analysis</w:t>
      </w:r>
    </w:p>
    <w:p>
      <w:pPr>
        <w:spacing w:after="160"/>
      </w:pPr>
      <w:r>
        <w:rPr>
          <w:sz w:val="22"/>
          <w:szCs w:val="22"/>
        </w:rPr>
        <w:t xml:space="preserve">Our DCF uses a WACC of 7.0%, built from CAPM with a beta of 0.5, a risk-free rate of 4.2%, and an equity risk premium of 5.6%. Beta of 0.5 reflects Walmart's defensive characteristics. In past market drawdowns, WMT has consistently held up better than the broader market because people keep buying groceries.</w:t>
      </w:r>
    </w:p>
    <w:p>
      <w:pPr>
        <w:spacing w:after="200"/>
      </w:pPr>
      <w:r>
        <w:rPr>
          <w:sz w:val="22"/>
          <w:szCs w:val="22"/>
        </w:rPr>
        <w:t xml:space="preserve">Terminal value is calculated using a 16x EV/EBITDA multiple applied to FY2031E EBITDA of $71.9B. That gives a terminal value of roughly $1.15 trillion, which discounts back to an equity value of about $110.70 per share. This is the value if the margin expansion thesis plays out as modeled.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1200"/>
        <w:gridCol w:w="3240"/>
      </w:tblGrid>
      <w:tr>
        <w:trPr>
          <w:tblHeader/>
        </w:trPr>
        <w:tc>
          <w:tcPr>
            <w:tcW w:type="dxa" w:w="312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6"/>
                <w:szCs w:val="16"/>
              </w:rPr>
              <w:t xml:space="preserve">Method</w:t>
            </w:r>
          </w:p>
        </w:tc>
        <w:tc>
          <w:tcPr>
            <w:tcW w:type="dxa" w:w="18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6"/>
                <w:szCs w:val="16"/>
              </w:rPr>
              <w:t xml:space="preserve">Value / Share</w:t>
            </w:r>
          </w:p>
        </w:tc>
        <w:tc>
          <w:tcPr>
            <w:tcW w:type="dxa" w:w="120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6"/>
                <w:szCs w:val="16"/>
              </w:rPr>
              <w:t xml:space="preserve">Weight</w:t>
            </w:r>
          </w:p>
        </w:tc>
        <w:tc>
          <w:tcPr>
            <w:tcW w:type="dxa" w:w="324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6"/>
                <w:szCs w:val="16"/>
              </w:rPr>
              <w:t xml:space="preserve">Notes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DCF (WACC 7.0%, 16x EV/EBITDA exit)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sz w:val="16"/>
                <w:szCs w:val="16"/>
              </w:rPr>
              <w:t xml:space="preserve">$110.70</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6"/>
                <w:szCs w:val="16"/>
              </w:rPr>
              <w:t xml:space="preserve">70%</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Captures the full margin expansion thesis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Trading Comps (9.85x NTM EV/EBITDA)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sz w:val="16"/>
                <w:szCs w:val="16"/>
              </w:rPr>
              <w:t xml:space="preserve">$65.38</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6"/>
                <w:szCs w:val="16"/>
              </w:rPr>
              <w:t xml:space="preserve">30%</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Peer median; Costco and Amazon excluded</w:t>
            </w:r>
          </w:p>
        </w:tc>
      </w:tr>
      <w:tr>
        <w:tc>
          <w:tcPr>
            <w:tcW w:type="dxa" w:w="312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color w:val="0D1B2A"/>
                <w:sz w:val="18"/>
                <w:szCs w:val="18"/>
              </w:rPr>
              <w:t xml:space="preserve">Blended Price Target</w:t>
            </w:r>
          </w:p>
        </w:tc>
        <w:tc>
          <w:tcPr>
            <w:tcW w:type="dxa" w:w="180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color w:val="1D4ED8"/>
                <w:sz w:val="18"/>
                <w:szCs w:val="18"/>
              </w:rPr>
              <w:t xml:space="preserve">$97</w:t>
            </w:r>
          </w:p>
        </w:tc>
        <w:tc>
          <w:tcPr>
            <w:tcW w:type="dxa" w:w="120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center"/>
            </w:pPr>
            <w:r>
              <w:rPr>
                <w:b/>
                <w:bCs/>
                <w:color w:val="0D1B2A"/>
                <w:sz w:val="18"/>
                <w:szCs w:val="18"/>
              </w:rPr>
              <w:t xml:space="preserve">100%</w:t>
            </w:r>
          </w:p>
        </w:tc>
        <w:tc>
          <w:tcPr>
            <w:tcW w:type="dxa" w:w="324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color w:val="0D1B2A"/>
                <w:sz w:val="16"/>
                <w:szCs w:val="16"/>
              </w:rPr>
              <w:t xml:space="preserve">Overweight; ~2.2% upside from $95</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FY2027E EV/EBITDA at PT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sz w:val="16"/>
                <w:szCs w:val="16"/>
              </w:rPr>
              <w:t xml:space="preserve">16.2x</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vs. Costco 36.6x, Target 9.9x</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FY2027E P/E at PT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sz w:val="16"/>
                <w:szCs w:val="16"/>
              </w:rPr>
              <w:t xml:space="preserve">29.8x</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Premium reflects the margin expansion thesis</w:t>
            </w:r>
          </w:p>
        </w:tc>
      </w:tr>
    </w:tbl>
    <w:p>
      <w:pPr>
        <w:spacing w:after="240" w:before="100"/>
      </w:pPr>
      <w:r>
        <w:rPr>
          <w:i/>
          <w:iCs/>
          <w:color w:val="6B7280"/>
          <w:sz w:val="16"/>
          <w:szCs w:val="16"/>
        </w:rPr>
        <w:t xml:space="preserve">DCF and comps will not match, and that is expected. The $45 gap between them ($110.70 vs. $65.38) is the thesis itself. Comps reflect what the market currently pays for retailers. DCF reflects what Walmart should be worth if the margin story is right. We weight DCF at 70% because that is where our conviction sits.</w:t>
      </w:r>
    </w:p>
    <w:p>
      <w:pPr>
        <w:pStyle w:val="Heading3"/>
        <w:spacing w:after="100" w:before="180"/>
      </w:pPr>
      <w:r>
        <w:rPr>
          <w:b/>
          <w:bCs/>
          <w:color w:val="0D1B2A"/>
          <w:sz w:val="22"/>
          <w:szCs w:val="22"/>
        </w:rPr>
        <w:t xml:space="preserve">DCF Sensitivity Analysis</w:t>
      </w:r>
    </w:p>
    <w:p>
      <w:pPr>
        <w:spacing w:after="160"/>
      </w:pPr>
      <w:r>
        <w:rPr>
          <w:sz w:val="22"/>
          <w:szCs w:val="22"/>
        </w:rPr>
        <w:t xml:space="preserve">The table below shows implied DCF share prices across different WACC and terminal multiple combinations. The highlighted row is the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6"/>
        <w:gridCol w:w="1104"/>
        <w:gridCol w:w="1104"/>
        <w:gridCol w:w="1104"/>
        <w:gridCol w:w="1104"/>
        <w:gridCol w:w="1104"/>
        <w:gridCol w:w="1104"/>
        <w:gridCol w:w="1104"/>
      </w:tblGrid>
      <w:tr>
        <w:trPr>
          <w:tblHeader/>
        </w:trPr>
        <w:tc>
          <w:tcPr>
            <w:tcW w:type="dxa" w:w="1536"/>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4"/>
                <w:szCs w:val="14"/>
              </w:rPr>
              <w:t xml:space="preserve">WACC / Exit Mult</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13x</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14x</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15x</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16x *</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17x</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18x</w:t>
            </w:r>
          </w:p>
        </w:tc>
        <w:tc>
          <w:tcPr>
            <w:tcW w:type="dxa" w:w="1104"/>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19x</w:t>
            </w:r>
          </w:p>
        </w:tc>
      </w:tr>
      <w:tr>
        <w:tc>
          <w:tcPr>
            <w:tcW w:type="dxa" w:w="153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6.0%</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$95.7</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$102.5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$109.3</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$116.0</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$122.8</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$129.5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$136.3</w:t>
            </w:r>
          </w:p>
        </w:tc>
      </w:tr>
      <w:tr>
        <w:tc>
          <w:tcPr>
            <w:tcW w:type="dxa" w:w="153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6.5%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$93.5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$100.1</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$106.7</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$113.3</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$119.9</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$126.5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$133.1</w:t>
            </w:r>
          </w:p>
        </w:tc>
      </w:tr>
      <w:tr>
        <w:tc>
          <w:tcPr>
            <w:tcW w:type="dxa" w:w="153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bCs/>
                <w:sz w:val="14"/>
                <w:szCs w:val="14"/>
              </w:rPr>
              <w:t xml:space="preserve">7.0% *</w:t>
            </w:r>
          </w:p>
        </w:tc>
        <w:tc>
          <w:tcPr>
            <w:tcW w:type="dxa" w:w="1104"/>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b w:val="false"/>
                <w:bCs w:val="false"/>
                <w:sz w:val="14"/>
                <w:szCs w:val="14"/>
              </w:rPr>
              <w:t xml:space="preserve">$91.4</w:t>
            </w:r>
          </w:p>
        </w:tc>
        <w:tc>
          <w:tcPr>
            <w:tcW w:type="dxa" w:w="1104"/>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b w:val="false"/>
                <w:bCs w:val="false"/>
                <w:sz w:val="14"/>
                <w:szCs w:val="14"/>
              </w:rPr>
              <w:t xml:space="preserve">$97.8</w:t>
            </w:r>
          </w:p>
        </w:tc>
        <w:tc>
          <w:tcPr>
            <w:tcW w:type="dxa" w:w="1104"/>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b w:val="false"/>
                <w:bCs w:val="false"/>
                <w:sz w:val="14"/>
                <w:szCs w:val="14"/>
              </w:rPr>
              <w:t xml:space="preserve">$104.3</w:t>
            </w:r>
          </w:p>
        </w:tc>
        <w:tc>
          <w:tcPr>
            <w:tcW w:type="dxa" w:w="1104"/>
            <w:tcBorders>
              <w:top w:val="single" w:color="CCCCCC" w:sz="4"/>
              <w:left w:val="single" w:color="CCCCCC" w:sz="4"/>
              <w:bottom w:val="single" w:color="CCCCCC" w:sz="4"/>
              <w:right w:val="single" w:color="CCCCCC" w:sz="4"/>
            </w:tcBorders>
            <w:shd w:fill="FEF3C7" w:color="auto" w:val="clear"/>
            <w:tcMar>
              <w:top w:type="dxa" w:w="100"/>
              <w:left w:type="dxa" w:w="140"/>
              <w:bottom w:type="dxa" w:w="100"/>
              <w:right w:type="dxa" w:w="140"/>
            </w:tcMar>
            <w:vAlign w:val="center"/>
          </w:tcPr>
          <w:p>
            <w:pPr>
              <w:jc w:val="center"/>
            </w:pPr>
            <w:r>
              <w:rPr>
                <w:b/>
                <w:bCs/>
                <w:sz w:val="14"/>
                <w:szCs w:val="14"/>
              </w:rPr>
              <w:t xml:space="preserve">$110.70</w:t>
            </w:r>
          </w:p>
        </w:tc>
        <w:tc>
          <w:tcPr>
            <w:tcW w:type="dxa" w:w="1104"/>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b w:val="false"/>
                <w:bCs w:val="false"/>
                <w:sz w:val="14"/>
                <w:szCs w:val="14"/>
              </w:rPr>
              <w:t xml:space="preserve">$117.2</w:t>
            </w:r>
          </w:p>
        </w:tc>
        <w:tc>
          <w:tcPr>
            <w:tcW w:type="dxa" w:w="1104"/>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b w:val="false"/>
                <w:bCs w:val="false"/>
                <w:sz w:val="14"/>
                <w:szCs w:val="14"/>
              </w:rPr>
              <w:t xml:space="preserve">$123.6</w:t>
            </w:r>
          </w:p>
        </w:tc>
        <w:tc>
          <w:tcPr>
            <w:tcW w:type="dxa" w:w="1104"/>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b w:val="false"/>
                <w:bCs w:val="false"/>
                <w:sz w:val="14"/>
                <w:szCs w:val="14"/>
              </w:rPr>
              <w:t xml:space="preserve">$130.0</w:t>
            </w:r>
          </w:p>
        </w:tc>
      </w:tr>
      <w:tr>
        <w:tc>
          <w:tcPr>
            <w:tcW w:type="dxa" w:w="153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7.5%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$89.3</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$95.6</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$101.9</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$108.2</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$114.5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$120.8</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$127.1</w:t>
            </w:r>
          </w:p>
        </w:tc>
      </w:tr>
      <w:tr>
        <w:tc>
          <w:tcPr>
            <w:tcW w:type="dxa" w:w="153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8.0%</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$87.2</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$93.4</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$99.5</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$105.7</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$111.8</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$118.0</w:t>
            </w:r>
          </w:p>
        </w:tc>
        <w:tc>
          <w:tcPr>
            <w:tcW w:type="dxa" w:w="1104"/>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b w:val="false"/>
                <w:bCs w:val="false"/>
                <w:sz w:val="14"/>
                <w:szCs w:val="14"/>
              </w:rPr>
              <w:t xml:space="preserve">$124.1</w:t>
            </w:r>
          </w:p>
        </w:tc>
      </w:tr>
    </w:tbl>
    <w:p>
      <w:pPr>
        <w:spacing w:after="240" w:before="100"/>
      </w:pPr>
      <w:r>
        <w:rPr>
          <w:i/>
          <w:iCs/>
          <w:color w:val="6B7280"/>
          <w:sz w:val="14"/>
          <w:szCs w:val="14"/>
        </w:rPr>
        <w:t xml:space="preserve">* Base case: WACC 7.0%, 16x terminal EV/EBITDA, DCF standalone implies $110.70. Blended PT of $97 reflects 30% comps weighting at 9.85x NTM EV/EBITDA.</w:t>
      </w:r>
    </w:p>
    <w:p>
      <w:pPr>
        <w:pStyle w:val="Heading3"/>
        <w:spacing w:after="100" w:before="180"/>
      </w:pPr>
      <w:r>
        <w:rPr>
          <w:b/>
          <w:bCs/>
          <w:color w:val="0D1B2A"/>
          <w:sz w:val="22"/>
          <w:szCs w:val="22"/>
        </w:rPr>
        <w:t xml:space="preserve">Trading Comparables</w:t>
      </w:r>
    </w:p>
    <w:p>
      <w:pPr>
        <w:spacing w:after="160"/>
      </w:pPr>
      <w:r>
        <w:rPr>
          <w:sz w:val="22"/>
          <w:szCs w:val="22"/>
        </w:rPr>
        <w:t xml:space="preserve">The comps universe includes Amazon, Costco, Target, Kroger, and Dollar General. We exclude Amazon and Costco from the peer median. Amazon's retail multiples are inflated by AWS, and Costco trades on a membership premium that is structurally different from Walmart's format. The remaining three peers trade at 7.6x to 9.9x EV/EBITDA. We use an adjusted peer median of 9.85x applied to FY2027E EBITDA.</w:t>
      </w:r>
    </w:p>
    <w:p>
      <w:pPr>
        <w:spacing w:after="200"/>
      </w:pPr>
      <w:r>
        <w:rPr>
          <w:sz w:val="22"/>
          <w:szCs w:val="22"/>
        </w:rPr>
        <w:t xml:space="preserve">This gives a comps-implied value of $65.38 per share. We weight this at 30% in the blend, not the standard 50%, because the peer set does not fully capture Walmart's evolving revenue mix. A pure retailer multiple undersells the advertising and membership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820"/>
        <w:gridCol w:w="1080"/>
        <w:gridCol w:w="1080"/>
        <w:gridCol w:w="1080"/>
        <w:gridCol w:w="1080"/>
        <w:gridCol w:w="1080"/>
        <w:gridCol w:w="1760"/>
      </w:tblGrid>
      <w:tr>
        <w:trPr>
          <w:tblHeader/>
        </w:trPr>
        <w:tc>
          <w:tcPr>
            <w:tcW w:type="dxa" w:w="13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3"/>
                <w:szCs w:val="13"/>
              </w:rPr>
              <w:t xml:space="preserve">Company</w:t>
            </w:r>
          </w:p>
        </w:tc>
        <w:tc>
          <w:tcPr>
            <w:tcW w:type="dxa" w:w="82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3"/>
                <w:szCs w:val="13"/>
              </w:rPr>
              <w:t xml:space="preserve">Ticker</w:t>
            </w:r>
          </w:p>
        </w:tc>
        <w:tc>
          <w:tcPr>
            <w:tcW w:type="dxa" w:w="10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3"/>
                <w:szCs w:val="13"/>
              </w:rPr>
              <w:t xml:space="preserve">Mkt Cap ($B)</w:t>
            </w:r>
          </w:p>
        </w:tc>
        <w:tc>
          <w:tcPr>
            <w:tcW w:type="dxa" w:w="10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3"/>
                <w:szCs w:val="13"/>
              </w:rPr>
              <w:t xml:space="preserve">EV ($M)</w:t>
            </w:r>
          </w:p>
        </w:tc>
        <w:tc>
          <w:tcPr>
            <w:tcW w:type="dxa" w:w="10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3"/>
                <w:szCs w:val="13"/>
              </w:rPr>
              <w:t xml:space="preserve">LTM Rev ($M)</w:t>
            </w:r>
          </w:p>
        </w:tc>
        <w:tc>
          <w:tcPr>
            <w:tcW w:type="dxa" w:w="10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3"/>
                <w:szCs w:val="13"/>
              </w:rPr>
              <w:t xml:space="preserve">LTM EBITDA ($M)</w:t>
            </w:r>
          </w:p>
        </w:tc>
        <w:tc>
          <w:tcPr>
            <w:tcW w:type="dxa" w:w="10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right"/>
            </w:pPr>
            <w:r>
              <w:rPr>
                <w:b/>
                <w:bCs/>
                <w:color w:val="FFFFFF"/>
                <w:sz w:val="13"/>
                <w:szCs w:val="13"/>
              </w:rPr>
              <w:t xml:space="preserve">EV/EBITDA</w:t>
            </w:r>
          </w:p>
        </w:tc>
        <w:tc>
          <w:tcPr>
            <w:tcW w:type="dxa" w:w="176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3"/>
                <w:szCs w:val="13"/>
              </w:rPr>
              <w:t xml:space="preserve">Note</w:t>
            </w:r>
          </w:p>
        </w:tc>
      </w:tr>
      <w:tr>
        <w:tc>
          <w:tcPr>
            <w:tcW w:type="dxa" w:w="13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Amazon</w:t>
            </w:r>
          </w:p>
        </w:tc>
        <w:tc>
          <w:tcPr>
            <w:tcW w:type="dxa" w:w="82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AMZN</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$2,100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$2,040,000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$638,000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$118,000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17.3x</w:t>
            </w:r>
          </w:p>
        </w:tc>
        <w:tc>
          <w:tcPr>
            <w:tcW w:type="dxa" w:w="17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Excluded (AWS distortion)</w:t>
            </w:r>
          </w:p>
        </w:tc>
      </w:tr>
      <w:tr>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3"/>
                <w:szCs w:val="13"/>
              </w:rPr>
              <w:t xml:space="preserve">Costco</w:t>
            </w:r>
          </w:p>
        </w:tc>
        <w:tc>
          <w:tcPr>
            <w:tcW w:type="dxa" w:w="8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3"/>
                <w:szCs w:val="13"/>
              </w:rPr>
              <w:t xml:space="preserve">COST</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$370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$373,000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$245,000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$10,200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36.6x</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3"/>
                <w:szCs w:val="13"/>
              </w:rPr>
              <w:t xml:space="preserve">Excluded (membership premium)</w:t>
            </w:r>
          </w:p>
        </w:tc>
      </w:tr>
      <w:tr>
        <w:tc>
          <w:tcPr>
            <w:tcW w:type="dxa" w:w="13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Target</w:t>
            </w:r>
          </w:p>
        </w:tc>
        <w:tc>
          <w:tcPr>
            <w:tcW w:type="dxa" w:w="82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TGT</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$53</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$67,000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$107,000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$6,800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9.9x</w:t>
            </w:r>
          </w:p>
        </w:tc>
        <w:tc>
          <w:tcPr>
            <w:tcW w:type="dxa" w:w="17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Included</w:t>
            </w:r>
          </w:p>
        </w:tc>
      </w:tr>
      <w:tr>
        <w:tc>
          <w:tcPr>
            <w:tcW w:type="dxa" w:w="13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3"/>
                <w:szCs w:val="13"/>
              </w:rPr>
              <w:t xml:space="preserve">Kroger</w:t>
            </w:r>
          </w:p>
        </w:tc>
        <w:tc>
          <w:tcPr>
            <w:tcW w:type="dxa" w:w="82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3"/>
                <w:szCs w:val="13"/>
              </w:rPr>
              <w:t xml:space="preserve">KR</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$42</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$53,000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$150,000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$7,000</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right"/>
            </w:pPr>
            <w:r>
              <w:rPr>
                <w:b w:val="false"/>
                <w:bCs w:val="false"/>
                <w:sz w:val="13"/>
                <w:szCs w:val="13"/>
              </w:rPr>
              <w:t xml:space="preserve">7.6x</w:t>
            </w:r>
          </w:p>
        </w:tc>
        <w:tc>
          <w:tcPr>
            <w:tcW w:type="dxa" w:w="1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sz w:val="13"/>
                <w:szCs w:val="13"/>
              </w:rPr>
              <w:t xml:space="preserve">Included</w:t>
            </w:r>
          </w:p>
        </w:tc>
      </w:tr>
      <w:tr>
        <w:tc>
          <w:tcPr>
            <w:tcW w:type="dxa" w:w="13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Dollar General</w:t>
            </w:r>
          </w:p>
        </w:tc>
        <w:tc>
          <w:tcPr>
            <w:tcW w:type="dxa" w:w="82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DG</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$24</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$30,500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$40,000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$3,100</w:t>
            </w:r>
          </w:p>
        </w:tc>
        <w:tc>
          <w:tcPr>
            <w:tcW w:type="dxa" w:w="10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right"/>
            </w:pPr>
            <w:r>
              <w:rPr>
                <w:b w:val="false"/>
                <w:bCs w:val="false"/>
                <w:sz w:val="13"/>
                <w:szCs w:val="13"/>
              </w:rPr>
              <w:t xml:space="preserve">9.8x</w:t>
            </w:r>
          </w:p>
        </w:tc>
        <w:tc>
          <w:tcPr>
            <w:tcW w:type="dxa" w:w="176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b w:val="false"/>
                <w:bCs w:val="false"/>
                <w:sz w:val="13"/>
                <w:szCs w:val="13"/>
              </w:rPr>
              <w:t xml:space="preserve">Included</w:t>
            </w:r>
          </w:p>
        </w:tc>
      </w:tr>
      <w:tr>
        <w:tc>
          <w:tcPr>
            <w:tcW w:type="dxa" w:w="13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sz w:val="13"/>
                <w:szCs w:val="13"/>
              </w:rPr>
              <w:t xml:space="preserve">Peer Median (3 comps)</w:t>
            </w:r>
          </w:p>
        </w:tc>
        <w:tc>
          <w:tcPr>
            <w:tcW w:type="dxa" w:w="82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sz w:val="13"/>
                <w:szCs w:val="13"/>
              </w:rPr>
              <w:t xml:space="preserve"/>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9.85x</w:t>
            </w:r>
          </w:p>
        </w:tc>
        <w:tc>
          <w:tcPr>
            <w:tcW w:type="dxa" w:w="176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sz w:val="13"/>
                <w:szCs w:val="13"/>
              </w:rPr>
              <w:t xml:space="preserve">Used for implied value</w:t>
            </w:r>
          </w:p>
        </w:tc>
      </w:tr>
      <w:tr>
        <w:tc>
          <w:tcPr>
            <w:tcW w:type="dxa" w:w="13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sz w:val="13"/>
                <w:szCs w:val="13"/>
              </w:rPr>
              <w:t xml:space="preserve">Walmart (subject)</w:t>
            </w:r>
          </w:p>
        </w:tc>
        <w:tc>
          <w:tcPr>
            <w:tcW w:type="dxa" w:w="82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sz w:val="13"/>
                <w:szCs w:val="13"/>
              </w:rPr>
              <w:t xml:space="preserve">WMT</w:t>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$762</w:t>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$792,377</w:t>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$713,163</w:t>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$44,028</w:t>
            </w:r>
          </w:p>
        </w:tc>
        <w:tc>
          <w:tcPr>
            <w:tcW w:type="dxa" w:w="108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right"/>
            </w:pPr>
            <w:r>
              <w:rPr>
                <w:b/>
                <w:bCs/>
                <w:sz w:val="13"/>
                <w:szCs w:val="13"/>
              </w:rPr>
              <w:t xml:space="preserve">18.0x</w:t>
            </w:r>
          </w:p>
        </w:tc>
        <w:tc>
          <w:tcPr>
            <w:tcW w:type="dxa" w:w="1760"/>
            <w:tcBorders>
              <w:top w:val="single" w:color="CCCCCC" w:sz="4"/>
              <w:left w:val="single" w:color="CCCCCC" w:sz="4"/>
              <w:bottom w:val="single" w:color="CCCCCC" w:sz="4"/>
              <w:right w:val="single" w:color="CCCCCC" w:sz="4"/>
            </w:tcBorders>
            <w:shd w:fill="EFF4FF" w:color="auto" w:val="clear"/>
            <w:tcMar>
              <w:top w:type="dxa" w:w="100"/>
              <w:left w:type="dxa" w:w="140"/>
              <w:bottom w:type="dxa" w:w="100"/>
              <w:right w:type="dxa" w:w="140"/>
            </w:tcMar>
            <w:vAlign w:val="center"/>
          </w:tcPr>
          <w:p>
            <w:pPr>
              <w:jc w:val="left"/>
            </w:pPr>
            <w:r>
              <w:rPr>
                <w:b/>
                <w:bCs/>
                <w:sz w:val="13"/>
                <w:szCs w:val="13"/>
              </w:rPr>
              <w:t xml:space="preserve">At current market price</w:t>
            </w:r>
          </w:p>
        </w:tc>
      </w:tr>
    </w:tbl>
    <w:p>
      <w:pPr>
        <w:spacing w:after="240"/>
      </w:pPr>
      <w:r>
        <w:t xml:space="preserve"/>
      </w:r>
    </w:p>
    <w:p>
      <w:pPr>
        <w:pStyle w:val="Heading2"/>
        <w:spacing w:after="140" w:before="240"/>
      </w:pPr>
      <w:r>
        <w:rPr>
          <w:b/>
          <w:bCs/>
          <w:color w:val="0D1B2A"/>
          <w:sz w:val="28"/>
          <w:szCs w:val="28"/>
        </w:rPr>
        <w:t xml:space="preserve">Catalysts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0B981" w:color="auto" w:val="clear"/>
            <w:tcMar>
              <w:top w:type="dxa" w:w="100"/>
              <w:left w:type="dxa" w:w="140"/>
              <w:bottom w:type="dxa" w:w="100"/>
              <w:right w:type="dxa" w:w="140"/>
            </w:tcMar>
            <w:vAlign w:val="center"/>
          </w:tcPr>
          <w:p>
            <w:pPr>
              <w:jc w:val="left"/>
            </w:pPr>
            <w:r>
              <w:rPr>
                <w:b/>
                <w:bCs/>
                <w:color w:val="FFFFFF"/>
                <w:sz w:val="18"/>
                <w:szCs w:val="18"/>
              </w:rPr>
              <w:t xml:space="preserve">Catalysts</w:t>
            </w:r>
          </w:p>
        </w:tc>
        <w:tc>
          <w:tcPr>
            <w:tcW w:type="dxa" w:w="4680"/>
            <w:tcBorders>
              <w:top w:val="single" w:color="CCCCCC" w:sz="4"/>
              <w:left w:val="single" w:color="CCCCCC" w:sz="4"/>
              <w:bottom w:val="single" w:color="CCCCCC" w:sz="4"/>
              <w:right w:val="single" w:color="CCCCCC" w:sz="4"/>
            </w:tcBorders>
            <w:shd w:fill="EF4444" w:color="auto" w:val="clear"/>
            <w:tcMar>
              <w:top w:type="dxa" w:w="100"/>
              <w:left w:type="dxa" w:w="140"/>
              <w:bottom w:type="dxa" w:w="100"/>
              <w:right w:type="dxa" w:w="140"/>
            </w:tcMar>
            <w:vAlign w:val="center"/>
          </w:tcPr>
          <w:p>
            <w:pPr>
              <w:jc w:val="left"/>
            </w:pPr>
            <w:r>
              <w:rPr>
                <w:b/>
                <w:bCs/>
                <w:color w:val="FFFFFF"/>
                <w:sz w:val="18"/>
                <w:szCs w:val="18"/>
              </w:rPr>
              <w:t xml:space="preserve">Key Risks</w:t>
            </w:r>
          </w:p>
        </w:tc>
      </w:tr>
      <w:tr>
        <w:tc>
          <w:tcPr>
            <w:tcW w:type="dxa" w:w="46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6"/>
                <w:szCs w:val="16"/>
              </w:rPr>
              <w:t xml:space="preserve">Walmart Connect crosses $5B in revenue ahead of schedule</w:t>
            </w:r>
          </w:p>
        </w:tc>
        <w:tc>
          <w:tcPr>
            <w:tcW w:type="dxa" w:w="46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6"/>
                <w:szCs w:val="16"/>
              </w:rPr>
              <w:t xml:space="preserve">Amazon accelerates grocery and retail investment, compressing Walmart's pricing power</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Walmart+ subscriber count surpasses 50M, proving the membership flywheel works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Consumer trade-down reverses as macro improves, reducing the Walmart traffic tailwind</w:t>
            </w:r>
          </w:p>
        </w:tc>
      </w:tr>
      <w:tr>
        <w:tc>
          <w:tcPr>
            <w:tcW w:type="dxa" w:w="46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6"/>
                <w:szCs w:val="16"/>
              </w:rPr>
              <w:t xml:space="preserve">Operating margin prints above 4.5% for two consecutive quarters</w:t>
            </w:r>
          </w:p>
        </w:tc>
        <w:tc>
          <w:tcPr>
            <w:tcW w:type="dxa" w:w="46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6"/>
                <w:szCs w:val="16"/>
              </w:rPr>
              <w:t xml:space="preserve">Advertising growth slows if brand budgets shift to social media platforms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Fulfillment-as-a-service revenue gets called out separately in earnings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6"/>
                <w:szCs w:val="16"/>
              </w:rPr>
              <w:t xml:space="preserve">Cost overruns or weak ROI on the fulfillment center buildout</w:t>
            </w:r>
          </w:p>
        </w:tc>
      </w:tr>
      <w:tr>
        <w:tc>
          <w:tcPr>
            <w:tcW w:type="dxa" w:w="46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6"/>
                <w:szCs w:val="16"/>
              </w:rPr>
              <w:t xml:space="preserve">Capex guidance starts declining, confirming the investment cycle is peaking</w:t>
            </w:r>
          </w:p>
        </w:tc>
        <w:tc>
          <w:tcPr>
            <w:tcW w:type="dxa" w:w="46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6"/>
                <w:szCs w:val="16"/>
              </w:rPr>
              <w:t xml:space="preserve">Regulatory pressure on data usage for Walmart Connect ad targeting</w:t>
            </w:r>
          </w:p>
        </w:tc>
      </w:tr>
    </w:tbl>
    <w:p>
      <w:pPr>
        <w:spacing w:after="240"/>
      </w:pPr>
      <w:r>
        <w:t xml:space="preserve"/>
      </w:r>
    </w:p>
    <w:p>
      <w:pPr>
        <w:pStyle w:val="Heading2"/>
        <w:spacing w:after="140" w:before="240"/>
      </w:pPr>
      <w:r>
        <w:rPr>
          <w:b/>
          <w:bCs/>
          <w:color w:val="0D1B2A"/>
          <w:sz w:val="28"/>
          <w:szCs w:val="28"/>
        </w:rPr>
        <w:t xml:space="preserve">Key Modeling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96"/>
        <w:gridCol w:w="1296"/>
        <w:gridCol w:w="1296"/>
        <w:gridCol w:w="1296"/>
        <w:gridCol w:w="1296"/>
      </w:tblGrid>
      <w:tr>
        <w:trPr>
          <w:tblHeader/>
        </w:trPr>
        <w:tc>
          <w:tcPr>
            <w:tcW w:type="dxa" w:w="2880"/>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left"/>
            </w:pPr>
            <w:r>
              <w:rPr>
                <w:b/>
                <w:bCs/>
                <w:color w:val="FFFFFF"/>
                <w:sz w:val="14"/>
                <w:szCs w:val="14"/>
              </w:rPr>
              <w:t xml:space="preserve">Assumption</w:t>
            </w:r>
          </w:p>
        </w:tc>
        <w:tc>
          <w:tcPr>
            <w:tcW w:type="dxa" w:w="1296"/>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FY2027E</w:t>
            </w:r>
          </w:p>
        </w:tc>
        <w:tc>
          <w:tcPr>
            <w:tcW w:type="dxa" w:w="1296"/>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FY2028E</w:t>
            </w:r>
          </w:p>
        </w:tc>
        <w:tc>
          <w:tcPr>
            <w:tcW w:type="dxa" w:w="1296"/>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FY2029E</w:t>
            </w:r>
          </w:p>
        </w:tc>
        <w:tc>
          <w:tcPr>
            <w:tcW w:type="dxa" w:w="1296"/>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FY2030E</w:t>
            </w:r>
          </w:p>
        </w:tc>
        <w:tc>
          <w:tcPr>
            <w:tcW w:type="dxa" w:w="1296"/>
            <w:tcBorders>
              <w:top w:val="single" w:color="CCCCCC" w:sz="4"/>
              <w:left w:val="single" w:color="CCCCCC" w:sz="4"/>
              <w:bottom w:val="single" w:color="CCCCCC" w:sz="4"/>
              <w:right w:val="single" w:color="CCCCCC" w:sz="4"/>
            </w:tcBorders>
            <w:shd w:fill="0D1B2A" w:color="auto" w:val="clear"/>
            <w:tcMar>
              <w:top w:type="dxa" w:w="100"/>
              <w:left w:type="dxa" w:w="140"/>
              <w:bottom w:type="dxa" w:w="100"/>
              <w:right w:type="dxa" w:w="140"/>
            </w:tcMar>
            <w:vAlign w:val="center"/>
          </w:tcPr>
          <w:p>
            <w:pPr>
              <w:jc w:val="center"/>
            </w:pPr>
            <w:r>
              <w:rPr>
                <w:b/>
                <w:bCs/>
                <w:color w:val="FFFFFF"/>
                <w:sz w:val="14"/>
                <w:szCs w:val="14"/>
              </w:rPr>
              <w:t xml:space="preserve">FY2031E</w:t>
            </w:r>
          </w:p>
        </w:tc>
      </w:tr>
      <w:tr>
        <w:tc>
          <w:tcPr>
            <w:tcW w:type="dxa" w:w="28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4"/>
                <w:szCs w:val="14"/>
              </w:rPr>
              <w:t xml:space="preserve">Revenue Growth</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4.5%</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4.5%</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4.3%</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4.0%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3.8%</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4"/>
                <w:szCs w:val="14"/>
              </w:rPr>
              <w:t xml:space="preserve">Gross Margin</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25.1%</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25.3%</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25.5%</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25.7%</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25.9%</w:t>
            </w:r>
          </w:p>
        </w:tc>
      </w:tr>
      <w:tr>
        <w:tc>
          <w:tcPr>
            <w:tcW w:type="dxa" w:w="28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4"/>
                <w:szCs w:val="14"/>
              </w:rPr>
              <w:t xml:space="preserve">EBIT Margin (our view)</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4.6%</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5.0%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5.4%</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5.8%</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6.2%</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4"/>
                <w:szCs w:val="14"/>
              </w:rPr>
              <w:t xml:space="preserve">EBITDA Margin</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6.6%</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7.0%</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7.4%</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7.8%</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8.2%</w:t>
            </w:r>
          </w:p>
        </w:tc>
      </w:tr>
      <w:tr>
        <w:tc>
          <w:tcPr>
            <w:tcW w:type="dxa" w:w="28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4"/>
                <w:szCs w:val="14"/>
              </w:rPr>
              <w:t xml:space="preserve">D&amp;A (% of revenue)</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2.0%</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4"/>
                <w:szCs w:val="14"/>
              </w:rPr>
              <w:t xml:space="preserve">Capex (% of revenue)</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3.7%</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3.6%</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3.4%</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3.2%</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3.0%</w:t>
            </w:r>
          </w:p>
        </w:tc>
      </w:tr>
      <w:tr>
        <w:tc>
          <w:tcPr>
            <w:tcW w:type="dxa" w:w="2880"/>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left"/>
            </w:pPr>
            <w:r>
              <w:rPr>
                <w:sz w:val="14"/>
                <w:szCs w:val="14"/>
              </w:rPr>
              <w:t xml:space="preserve">Effective Tax Rate</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25.0%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25.0%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25.0%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25.0%</w:t>
            </w:r>
          </w:p>
        </w:tc>
        <w:tc>
          <w:tcPr>
            <w:tcW w:type="dxa" w:w="1296"/>
            <w:tcBorders>
              <w:top w:val="single" w:color="CCCCCC" w:sz="4"/>
              <w:left w:val="single" w:color="CCCCCC" w:sz="4"/>
              <w:bottom w:val="single" w:color="CCCCCC" w:sz="4"/>
              <w:right w:val="single" w:color="CCCCCC" w:sz="4"/>
            </w:tcBorders>
            <w:shd w:fill="F9FAFB" w:color="auto" w:val="clear"/>
            <w:tcMar>
              <w:top w:type="dxa" w:w="100"/>
              <w:left w:type="dxa" w:w="140"/>
              <w:bottom w:type="dxa" w:w="100"/>
              <w:right w:type="dxa" w:w="140"/>
            </w:tcMar>
            <w:vAlign w:val="center"/>
          </w:tcPr>
          <w:p>
            <w:pPr>
              <w:jc w:val="center"/>
            </w:pPr>
            <w:r>
              <w:rPr>
                <w:sz w:val="14"/>
                <w:szCs w:val="14"/>
              </w:rPr>
              <w:t xml:space="preserve">25.0%</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WACC</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7.0%</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Terminal EV/EBITDA</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center"/>
            </w:pPr>
            <w:r>
              <w:rPr>
                <w:sz w:val="14"/>
                <w:szCs w:val="14"/>
              </w:rPr>
              <w:t xml:space="preserve">16.0x</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sz w:val="14"/>
                <w:szCs w:val="14"/>
              </w:rPr>
              <w:t xml:space="preserve">Consensus EBIT Margin (FY2031E)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4"/>
                <w:szCs w:val="14"/>
              </w:rPr>
              <w:t xml:space="preserve">~4.8% (FactSet)</w:t>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c>
          <w:tcPr>
            <w:tcW w:type="dxa" w:w="129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sz w:val="18"/>
                <w:szCs w:val="18"/>
              </w:rPr>
              <w:t xml:space="preserve"/>
            </w:r>
          </w:p>
        </w:tc>
      </w:tr>
    </w:tbl>
    <w:p>
      <w:pPr>
        <w:spacing w:after="120" w:before="240"/>
      </w:pPr>
      <w:r>
        <w:rPr>
          <w:i/>
          <w:iCs/>
          <w:color w:val="6B7280"/>
          <w:sz w:val="14"/>
          <w:szCs w:val="14"/>
        </w:rPr>
        <w:t xml:space="preserve">All financial data sourced from Macrotrends and WMT public filings (10-K). FY2026 Balance Sheet estimated due to Macrotrends publication lag. Projections are model estimates and should not be used as investment advice.</w:t>
      </w:r>
    </w:p>
    <w:p>
      <w:pPr>
        <w:spacing w:after="120"/>
      </w:pPr>
      <w:r>
        <w:rPr>
          <w:i/>
          <w:iCs/>
          <w:color w:val="6B7280"/>
          <w:sz w:val="14"/>
          <w:szCs w:val="14"/>
        </w:rPr>
        <w:t xml:space="preserve">For educational and portfolio purposes only. Not investment advice. Data sourced from Macrotrends and WMT public filings. Comp estimates are approximate.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Winston Spadafora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WMT Equity Research  |  Overweight  |  PT: $97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0D1B2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Walmart (NYSE: WMT) Equity Research</dc:title>
  <dc:creator>Winston Spadafora</dc:creator>
  <cp:lastModifiedBy>Un-named</cp:lastModifiedBy>
  <cp:revision>1</cp:revision>
  <dcterms:created xsi:type="dcterms:W3CDTF">2026-04-24T00:23:54.023Z</dcterms:created>
  <dcterms:modified xsi:type="dcterms:W3CDTF">2026-04-24T00:23:54.024Z</dcterms:modified>
</cp:coreProperties>
</file>

<file path=docProps/custom.xml><?xml version="1.0" encoding="utf-8"?>
<Properties xmlns="http://schemas.openxmlformats.org/officeDocument/2006/custom-properties" xmlns:vt="http://schemas.openxmlformats.org/officeDocument/2006/docPropsVTypes"/>
</file>