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Exactly. See how much faster that is? You've completely bypassed the formatting bottleneck. You just click export, drop the file in a directory, and the LLM handles the structural heavy lifting.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show you exactly how the </w:t>
      </w:r>
      <w:r w:rsidDel="00000000" w:rsidR="00000000" w:rsidRPr="00000000">
        <w:rPr>
          <w:rFonts w:ascii="Arial" w:cs="Arial" w:eastAsia="Arial" w:hAnsi="Arial"/>
          <w:b w:val="1"/>
          <w:bCs w:val="1"/>
          <w:color w:val="1f1f1f"/>
          <w:rtl w:val="0"/>
        </w:rPr>
        <w:t xml:space="preserve">Librarian MCP</w:t>
      </w:r>
      <w:r w:rsidDel="00000000" w:rsidR="00000000" w:rsidRPr="00000000">
        <w:rPr>
          <w:rFonts w:ascii="Arial" w:cs="Arial" w:eastAsia="Arial" w:hAnsi="Arial"/>
          <w:color w:val="1f1f1f"/>
          <w:rtl w:val="0"/>
        </w:rPr>
        <w:t xml:space="preserve"> will operate in practice, let's run a manual simulation of the learning loop right now using the document you just attached.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your MCP server had just executed read_document("what does the word bespoke mean...docx"), the agent's reasoning layer would parse the raw text, filter out the conversational fluff (like the questions at the end), and extract the core architectural concepts to map them into your graph.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how the agent would process your document and draft the commit_to_arangodb payload: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Semantic Extraction (The Agent's Internal Reasoning)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Concept Identified:</w:t>
      </w:r>
      <w:r w:rsidDel="00000000" w:rsidR="00000000" w:rsidRPr="00000000">
        <w:rPr>
          <w:rFonts w:ascii="Arial" w:cs="Arial" w:eastAsia="Arial" w:hAnsi="Arial"/>
          <w:color w:val="1f1f1f"/>
          <w:rtl w:val="0"/>
        </w:rPr>
        <w:t xml:space="preserve"> "Bespoke AI Tool". It is defined as being custom-built or heavily fine-tuned for a specific organization.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Attribute 1 (Data Strategy):</w:t>
      </w:r>
      <w:r w:rsidDel="00000000" w:rsidR="00000000" w:rsidRPr="00000000">
        <w:rPr>
          <w:rFonts w:ascii="Arial" w:cs="Arial" w:eastAsia="Arial" w:hAnsi="Arial"/>
          <w:color w:val="1f1f1f"/>
          <w:rtl w:val="0"/>
        </w:rPr>
        <w:t xml:space="preserve"> Relies on "Tailored Training" using proprietary data rather than generic public internet data.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Attribute 2 (Architecture):</w:t>
      </w:r>
      <w:r w:rsidDel="00000000" w:rsidR="00000000" w:rsidRPr="00000000">
        <w:rPr>
          <w:rFonts w:ascii="Arial" w:cs="Arial" w:eastAsia="Arial" w:hAnsi="Arial"/>
          <w:color w:val="1f1f1f"/>
          <w:rtl w:val="0"/>
        </w:rPr>
        <w:t xml:space="preserve"> Focuses on "Seamless Integration" by bridging gaps in the existing technology stack and linking directly to ERPs to prevent data silos.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Key Attribute 3 (Governance):</w:t>
      </w:r>
      <w:r w:rsidDel="00000000" w:rsidR="00000000" w:rsidRPr="00000000">
        <w:rPr>
          <w:rFonts w:ascii="Arial" w:cs="Arial" w:eastAsia="Arial" w:hAnsi="Arial"/>
          <w:color w:val="1f1f1f"/>
          <w:rtl w:val="0"/>
        </w:rPr>
        <w:t xml:space="preserve"> Designed around "Strict Control &amp; Security" to adhere to internal access controls and regulations.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The Graph Payload Draft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the Plan 008 architectural constraint, the agent unifies all of these relationships using the RESOLVES_TO edge. It prepares the following JSON payload to inject into your newly proposed ai_research_node and ai_research_edge collections: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"operation"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"upsert_triples"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"nodes"</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"_key"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"concept:bespoke_ai"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"Concept"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"Bespoke AI Tool"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"Custom-built or heavily fine-tuned AI for specific organizational tasks."</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"_key"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"concept:tailored_training"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"Concept"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"Tailored Training"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"Model fine-tuning executed on proprietary data."</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"_key"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"concept:seamless_integration"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"Concept"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"Seamless Integration"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"Direct linkage to CRM, ERP, and databases to prevent silos."</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"_key"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"concept:strict_control"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"Concept"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"Strict Control &amp; Security"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"Adherence to internal access controls and privacy regulations."</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"_key"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"system:erp"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"Physical_System"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"ERP Digital Twin"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"description"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"Existing manufacturing resource planning system."</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"edges"</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"ai_research_node/concept:bespoke_ai"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"_to"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"ai_research_node/concept:tailored_training"</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"predicate"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"RESOLVES_TO"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"weight"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"ai_research_node/concept:bespoke_ai"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"_to"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"ai_research_node/concept:seamless_integration"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"predicate"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"RESOLVES_TO"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"weight"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"ai_research_node/concept:bespoke_ai"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"_to"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"ai_research_node/concept:strict_control"</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"predicate"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"RESOLVES_TO"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"weight"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"_from"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"ai_research_node/concept:seamless_integration"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"_to"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"manufacturing_graph_node/system:erp"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"predicate"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"RESOLVES_TO"</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"weight"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w:t>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Beauty of the Loop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Notice that final edge in the JSON. The Librarian didn't just map the concepts from your document in isolation; it recognized the mention of "ERP"  and deliberately mapped the Seamless_Integration concept back to your physical manufacturing_graph_node ecosystem.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exactly how you build Nadella's "ecosystem"—your unstructured research is automatically bound to your physical constraints.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this payload looks correct to you, we can start writing the actual Python MCP server (librarian_server.py) with the python-docx parser to automate this flow for the rest of your MRP documents. Shall we draft the server?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