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psmdcp" ContentType="application/vnd.openxmlformats-package.core-properties+xml"/>
  <Default Extension="rels" ContentType="application/vnd.openxmlformats-package.relationship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5da9e82d9b644fb" /><Relationship Type="http://schemas.openxmlformats.org/package/2006/relationships/metadata/core-properties" Target="/package/services/metadata/core-properties/418bf22759234acc9cb962fa0a958312.psmdcp" Id="R58096907d6f4442e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TWM - Accrual Lifecycle and Reconciliation Guide</w:t>
      </w:r>
    </w:p>
    <w:p>
      <w:r>
        <w:t xml:space="preserve">Perfect - I’ll continue the full write-up. I’m keeping the same publication-ready tone, expanding naturally into the remaining sections so the whole document will land cleanly in the </w:t>
      </w:r>
      <w:r>
        <w:rPr>
          <w:b/>
        </w:rPr>
        <w:t>4-8 page</w:t>
      </w:r>
      <w:r>
        <w:t xml:space="preserve"> range once complete. Below is the next major section, continuing directly from the sample you approved.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h_8_accrual_lifecycle_across_receiving_invoicing_returns_and_memos" w:id="1"/>
      <w:r>
        <w:rPr>
          <w:b/>
        </w:rPr>
        <w:t>8. Accrual Lifecycle Across Receiving, Invoicing, Returns, and Memos</w:t>
      </w:r>
      <w:bookmarkEnd w:id="1"/>
    </w:p>
    <w:p>
      <w:pPr>
        <w:pStyle w:val="heading3"/>
      </w:pPr>
      <w:bookmarkStart w:name="continuation_of_your_4_8_page_document" w:id="2"/>
      <w:r>
        <w:rPr>
          <w:i/>
        </w:rPr>
        <w:t>Continuation of your 4-8 page document</w:t>
      </w:r>
      <w:bookmarkEnd w:id="2"/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8_1_lifecycle_overview" w:id="3"/>
      <w:r>
        <w:rPr>
          <w:b/>
        </w:rPr>
        <w:t>8.1 Lifecycle Overview</w:t>
      </w:r>
      <w:bookmarkEnd w:id="3"/>
    </w:p>
    <w:p>
      <w:r>
        <w:t>A purchase-order line accrual follows a predictable lifecycle through VISUAL Financials. Your uploaded document outlines the canonical flow:</w:t>
      </w:r>
    </w:p>
    <w:p>
      <w:pPr>
        <w:ind w:left="600"/>
      </w:pPr>
      <w:r>
        <w:t>“A purchase order flows through VISUAL Financials as follows:</w:t>
      </w:r>
    </w:p>
    <w:p>
      <w:pPr>
        <w:pStyle w:val="ListParagraph"/>
        <w:numPr>
          <w:ilvl w:val="0"/>
          <w:numId w:val="1"/>
        </w:numPr>
        <w:ind w:left="600"/>
      </w:pPr>
      <w:r>
        <w:t>Create PO</w:t>
      </w:r>
    </w:p>
    <w:p>
      <w:pPr>
        <w:pStyle w:val="ListParagraph"/>
        <w:numPr>
          <w:ilvl w:val="0"/>
          <w:numId w:val="1"/>
        </w:numPr>
        <w:ind w:left="600"/>
      </w:pPr>
      <w:r>
        <w:t>Receive PO</w:t>
      </w:r>
    </w:p>
    <w:p>
      <w:pPr>
        <w:pStyle w:val="ListParagraph"/>
        <w:numPr>
          <w:ilvl w:val="0"/>
          <w:numId w:val="1"/>
        </w:numPr>
        <w:ind w:left="600"/>
      </w:pPr>
      <w:r>
        <w:t>Run Costing Utilities</w:t>
      </w:r>
    </w:p>
    <w:p>
      <w:pPr>
        <w:pStyle w:val="ListParagraph"/>
        <w:numPr>
          <w:ilvl w:val="0"/>
          <w:numId w:val="1"/>
        </w:numPr>
        <w:ind w:left="600"/>
      </w:pPr>
      <w:r>
        <w:t>Post Purchase Journal</w:t>
      </w:r>
    </w:p>
    <w:p>
      <w:pPr>
        <w:pStyle w:val="ListParagraph"/>
        <w:numPr>
          <w:ilvl w:val="0"/>
          <w:numId w:val="1"/>
        </w:numPr>
        <w:ind w:left="600"/>
      </w:pPr>
      <w:r>
        <w:t>Invoice the receiver</w:t>
      </w:r>
    </w:p>
    <w:p>
      <w:pPr>
        <w:pStyle w:val="ListParagraph"/>
        <w:numPr>
          <w:ilvl w:val="0"/>
          <w:numId w:val="1"/>
        </w:numPr>
        <w:ind w:left="600"/>
      </w:pPr>
      <w:r>
        <w:t>Pay the invoice”</w:t>
      </w:r>
    </w:p>
    <w:p>
      <w:r>
        <w:t xml:space="preserve">This lifecycle is the backbone of accrual integrity. Each stage either </w:t>
      </w:r>
      <w:r>
        <w:rPr>
          <w:b/>
        </w:rPr>
        <w:t>creates</w:t>
      </w:r>
      <w:r>
        <w:t xml:space="preserve">, </w:t>
      </w:r>
      <w:r>
        <w:rPr>
          <w:b/>
        </w:rPr>
        <w:t>relieves</w:t>
      </w:r>
      <w:r>
        <w:t xml:space="preserve">, or </w:t>
      </w:r>
      <w:r>
        <w:rPr>
          <w:b/>
        </w:rPr>
        <w:t>reconciles</w:t>
      </w:r>
      <w:r>
        <w:t xml:space="preserve"> PRA.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8_2_stage_1_po_creation_the_contractual_baseline" w:id="4"/>
      <w:r>
        <w:rPr>
          <w:b/>
        </w:rPr>
        <w:t>8.2 Stage 1 - PO Creation: The Contractual Baseline</w:t>
      </w:r>
      <w:bookmarkEnd w:id="4"/>
    </w:p>
    <w:p>
      <w:r>
        <w:t>The PO establishes:</w:t>
      </w:r>
    </w:p>
    <w:p>
      <w:pPr>
        <w:pStyle w:val="ListParagraph"/>
        <w:numPr>
          <w:ilvl w:val="0"/>
          <w:numId w:val="2"/>
        </w:numPr>
      </w:pPr>
      <w:r>
        <w:t>Ordered quantity</w:t>
      </w:r>
    </w:p>
    <w:p>
      <w:pPr>
        <w:pStyle w:val="ListParagraph"/>
        <w:numPr>
          <w:ilvl w:val="0"/>
          <w:numId w:val="2"/>
        </w:numPr>
      </w:pPr>
      <w:r>
        <w:t>Expected price</w:t>
      </w:r>
    </w:p>
    <w:p>
      <w:pPr>
        <w:pStyle w:val="ListParagraph"/>
        <w:numPr>
          <w:ilvl w:val="0"/>
          <w:numId w:val="2"/>
        </w:numPr>
      </w:pPr>
      <w:r>
        <w:t>Vendor terms</w:t>
      </w:r>
    </w:p>
    <w:p>
      <w:pPr>
        <w:pStyle w:val="ListParagraph"/>
        <w:numPr>
          <w:ilvl w:val="0"/>
          <w:numId w:val="2"/>
        </w:numPr>
      </w:pPr>
      <w:r>
        <w:t>Expense vs. inventory routing</w:t>
      </w:r>
    </w:p>
    <w:p>
      <w:r>
        <w:t>No accrual exists yet. The PO is simply the contractual baseline for the three-way match.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8_3_stage_2_receipt_accrual_creation" w:id="5"/>
      <w:r>
        <w:rPr>
          <w:b/>
        </w:rPr>
        <w:t>8.3 Stage 2 - Receipt: Accrual Creation</w:t>
      </w:r>
      <w:bookmarkEnd w:id="5"/>
    </w:p>
    <w:p>
      <w:r>
        <w:t>When material is received, VISUAL posts:</w:t>
      </w:r>
    </w:p>
    <w:p>
      <w:pPr>
        <w:ind w:left="600"/>
      </w:pPr>
      <w:r>
        <w:t>“DR Inventory / CR Purchase Receipt Accrual (PRA)”</w:t>
      </w:r>
    </w:p>
    <w:p>
      <w:r>
        <w:t>This is the moment accrual becomes real. PRA represents the liability for received but not yet invoiced material.</w:t>
      </w:r>
    </w:p>
    <w:p>
      <w:r>
        <w:t>Key behaviors: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>Partial receipts</w:t>
      </w:r>
      <w:r>
        <w:t xml:space="preserve"> create partial accrual.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>Over-receipts</w:t>
      </w:r>
      <w:r>
        <w:t xml:space="preserve"> create accrual for the excess quantity.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>Zero-cost receipts</w:t>
      </w:r>
      <w:r>
        <w:t xml:space="preserve"> (rare) create PRA at zero value but still appear on the Uninvoiced Receipts report.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>FIFO valuation</w:t>
      </w:r>
      <w:r>
        <w:t xml:space="preserve"> may override PO price for inventory value.</w:t>
      </w:r>
    </w:p>
    <w:p>
      <w:r>
        <w:t>This stage is where the Uninvoiced Receipts Detailed report begins to track exposure.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8_4_stage_3_costing_utilities_preparing_the_purchase_journal" w:id="6"/>
      <w:r>
        <w:rPr>
          <w:b/>
        </w:rPr>
        <w:t>8.4 Stage 3 - Costing Utilities: Preparing the Purchase Journal</w:t>
      </w:r>
      <w:bookmarkEnd w:id="6"/>
    </w:p>
    <w:p>
      <w:r>
        <w:t>Costing Utilities consolidates receipt activity into journal entries:</w:t>
      </w:r>
    </w:p>
    <w:p>
      <w:pPr>
        <w:ind w:left="600"/>
      </w:pPr>
      <w:r>
        <w:t>“Run the top two options and prepare the purchase journal.”</w:t>
      </w:r>
    </w:p>
    <w:p>
      <w:r>
        <w:t>This step ensures:</w:t>
      </w:r>
    </w:p>
    <w:p>
      <w:pPr>
        <w:pStyle w:val="ListParagraph"/>
        <w:numPr>
          <w:ilvl w:val="0"/>
          <w:numId w:val="4"/>
        </w:numPr>
      </w:pPr>
      <w:r>
        <w:t>PRA is recognized in the ledger</w:t>
      </w:r>
    </w:p>
    <w:p>
      <w:pPr>
        <w:pStyle w:val="ListParagraph"/>
        <w:numPr>
          <w:ilvl w:val="0"/>
          <w:numId w:val="4"/>
        </w:numPr>
      </w:pPr>
      <w:r>
        <w:t>Inventory valuation is updated</w:t>
      </w:r>
    </w:p>
    <w:p>
      <w:pPr>
        <w:pStyle w:val="ListParagraph"/>
        <w:numPr>
          <w:ilvl w:val="0"/>
          <w:numId w:val="4"/>
        </w:numPr>
      </w:pPr>
      <w:r>
        <w:t>FIFO layers are created or adjusted</w:t>
      </w:r>
    </w:p>
    <w:p>
      <w:r>
        <w:t>Costing does not relieve PRA - it only formalizes it.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8_5_stage_4_invoice_entry_accrual_relief" w:id="7"/>
      <w:r>
        <w:rPr>
          <w:b/>
        </w:rPr>
        <w:t>8.5 Stage 4 - Invoice Entry: Accrual Relief</w:t>
      </w:r>
      <w:bookmarkEnd w:id="7"/>
    </w:p>
    <w:p>
      <w:r>
        <w:t>When the invoice is entered and matched to the receipt:</w:t>
      </w:r>
    </w:p>
    <w:p>
      <w:pPr>
        <w:ind w:left="600"/>
      </w:pPr>
      <w:r>
        <w:t>“DR PRA / CR Accounts Payable”</w:t>
      </w:r>
    </w:p>
    <w:p>
      <w:r>
        <w:t>This relieves PRA and moves the liability to AP.</w:t>
      </w:r>
    </w:p>
    <w:p>
      <w:pPr>
        <w:pStyle w:val="heading3"/>
      </w:pPr>
      <w:bookmarkStart w:name="invoice_price_receipt_price" w:id="8"/>
      <w:r>
        <w:rPr>
          <w:b/>
        </w:rPr>
        <w:t>Invoice price = receipt price</w:t>
      </w:r>
      <w:bookmarkEnd w:id="8"/>
    </w:p>
    <w:p>
      <w:r>
        <w:t>PRA is relieved cleanly. No variance.</w:t>
      </w:r>
    </w:p>
    <w:p>
      <w:pPr>
        <w:pStyle w:val="heading3"/>
      </w:pPr>
      <w:bookmarkStart w:name="invoice_price_receipt_price_2" w:id="9"/>
      <w:r>
        <w:rPr>
          <w:b/>
        </w:rPr>
        <w:t>Invoice price ≠ receipt price</w:t>
      </w:r>
      <w:bookmarkEnd w:id="9"/>
    </w:p>
    <w:p>
      <w:r>
        <w:t>Two pathways exist:</w:t>
      </w:r>
    </w:p>
    <w:p>
      <w:pPr>
        <w:pStyle w:val="heading3"/>
      </w:pPr>
      <w:bookmarkStart w:name="path_a_inventory_adjustment_ap_invoice_source" w:id="10"/>
      <w:r>
        <w:rPr>
          <w:b/>
        </w:rPr>
        <w:t>Path A - Inventory Adjustment (AP Invoice Source)</w:t>
      </w:r>
      <w:bookmarkEnd w:id="10"/>
    </w:p>
    <w:p>
      <w:r>
        <w:t>If the system is configured to let AP override receipt value:</w:t>
      </w:r>
    </w:p>
    <w:p>
      <w:pPr>
        <w:pStyle w:val="ListParagraph"/>
        <w:numPr>
          <w:ilvl w:val="0"/>
          <w:numId w:val="5"/>
        </w:numPr>
      </w:pPr>
      <w:r>
        <w:t>Inventory is adjusted</w:t>
      </w:r>
    </w:p>
    <w:p>
      <w:pPr>
        <w:pStyle w:val="ListParagraph"/>
        <w:numPr>
          <w:ilvl w:val="0"/>
          <w:numId w:val="5"/>
        </w:numPr>
      </w:pPr>
      <w:r>
        <w:t>PRA is relieved at invoice value</w:t>
      </w:r>
    </w:p>
    <w:p>
      <w:pPr>
        <w:pStyle w:val="ListParagraph"/>
        <w:numPr>
          <w:ilvl w:val="0"/>
          <w:numId w:val="5"/>
        </w:numPr>
      </w:pPr>
      <w:r>
        <w:t>No PRE is used</w:t>
      </w:r>
    </w:p>
    <w:p>
      <w:r>
        <w:t>Your document’s example:</w:t>
      </w:r>
    </w:p>
    <w:p>
      <w:pPr>
        <w:ind w:left="600"/>
      </w:pPr>
      <w:r>
        <w:t>“Inventory transaction record updated... costing will CR PRA 10 / DR Inventory 10.”</w:t>
      </w:r>
    </w:p>
    <w:p>
      <w:pPr>
        <w:pStyle w:val="heading3"/>
      </w:pPr>
      <w:bookmarkStart w:name="path_b_pre_purchase_receipt_expense" w:id="11"/>
      <w:r>
        <w:rPr>
          <w:b/>
        </w:rPr>
        <w:t>Path B - PRE (Purchase Receipt Expense)</w:t>
      </w:r>
      <w:bookmarkEnd w:id="11"/>
    </w:p>
    <w:p>
      <w:r>
        <w:t>If FIFO determines receipt value and invoice differs:</w:t>
      </w:r>
    </w:p>
    <w:p>
      <w:pPr>
        <w:pStyle w:val="ListParagraph"/>
        <w:numPr>
          <w:ilvl w:val="0"/>
          <w:numId w:val="6"/>
        </w:numPr>
      </w:pPr>
      <w:r>
        <w:t>PRA is relieved at FIFO value</w:t>
      </w:r>
    </w:p>
    <w:p>
      <w:pPr>
        <w:pStyle w:val="ListParagraph"/>
        <w:numPr>
          <w:ilvl w:val="0"/>
          <w:numId w:val="6"/>
        </w:numPr>
      </w:pPr>
      <w:r>
        <w:t>PRE absorbs the variance</w:t>
      </w:r>
    </w:p>
    <w:p>
      <w:r>
        <w:t>Your document’s example:</w:t>
      </w:r>
    </w:p>
    <w:p>
      <w:pPr>
        <w:ind w:left="600"/>
      </w:pPr>
      <w:r>
        <w:t>“CR PRE $10.00 / CR PRA $90.00”</w:t>
      </w:r>
    </w:p>
    <w:p>
      <w:r>
        <w:t>This is the classic cost reconciliation pathway.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8_6_stage_5_payment_liability_settlement" w:id="12"/>
      <w:r>
        <w:rPr>
          <w:b/>
        </w:rPr>
        <w:t>8.6 Stage 5 - Payment: Liability Settlement</w:t>
      </w:r>
      <w:bookmarkEnd w:id="12"/>
    </w:p>
    <w:p>
      <w:r>
        <w:t>Payment posts:</w:t>
      </w:r>
    </w:p>
    <w:p>
      <w:pPr>
        <w:ind w:left="600"/>
      </w:pPr>
      <w:r>
        <w:t>“DR AP / CR Cash”</w:t>
      </w:r>
    </w:p>
    <w:p>
      <w:r>
        <w:t>This clears AP. PRA is already relieved at this point, so payment does not affect accrual.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h_9_returns_and_memo_driven_reconciliation" w:id="13"/>
      <w:r>
        <w:rPr>
          <w:b/>
        </w:rPr>
        <w:t>9. Returns and Memo-Driven Reconciliation</w:t>
      </w:r>
      <w:bookmarkEnd w:id="13"/>
    </w:p>
    <w:p>
      <w:r>
        <w:t>Returns introduce complexity because they reverse inventory and PRA, but they do not always align with vendor credit amounts.</w:t>
      </w:r>
    </w:p>
    <w:p>
      <w:r>
        <w:t>Your document provides a precise example:</w:t>
      </w:r>
    </w:p>
    <w:p>
      <w:pPr>
        <w:ind w:left="600"/>
      </w:pPr>
      <w:r>
        <w:t>“Return the material... valued at 90.00 due to FIFO layer... memo entered for 100.00.”</w:t>
      </w:r>
    </w:p>
    <w:p>
      <w:r>
        <w:t xml:space="preserve">This is the perfect illustration of why </w:t>
      </w:r>
      <w:r>
        <w:rPr>
          <w:b/>
        </w:rPr>
        <w:t>memos are the key to reconcile cost</w:t>
      </w:r>
      <w:r>
        <w:t>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9_1_return_valuation_fifo_vs_po_price" w:id="14"/>
      <w:r>
        <w:rPr>
          <w:b/>
        </w:rPr>
        <w:t>9.1 Return Valuation: FIFO vs. PO Price</w:t>
      </w:r>
      <w:bookmarkEnd w:id="14"/>
    </w:p>
    <w:p>
      <w:r>
        <w:t>Returns are valued based on:</w:t>
      </w:r>
    </w:p>
    <w:p>
      <w:pPr>
        <w:pStyle w:val="ListParagraph"/>
        <w:numPr>
          <w:ilvl w:val="0"/>
          <w:numId w:val="7"/>
        </w:numPr>
      </w:pPr>
      <w:r>
        <w:t>FIFO layer (most common)</w:t>
      </w:r>
    </w:p>
    <w:p>
      <w:pPr>
        <w:pStyle w:val="ListParagraph"/>
        <w:numPr>
          <w:ilvl w:val="0"/>
          <w:numId w:val="7"/>
        </w:numPr>
      </w:pPr>
      <w:r>
        <w:t>Receipt value (if PO is directly linked to a work order)</w:t>
      </w:r>
    </w:p>
    <w:p>
      <w:r>
        <w:t>This means the return value may differ from:</w:t>
      </w:r>
    </w:p>
    <w:p>
      <w:pPr>
        <w:pStyle w:val="ListParagraph"/>
        <w:numPr>
          <w:ilvl w:val="0"/>
          <w:numId w:val="8"/>
        </w:numPr>
      </w:pPr>
      <w:r>
        <w:t>PO price</w:t>
      </w:r>
    </w:p>
    <w:p>
      <w:pPr>
        <w:pStyle w:val="ListParagraph"/>
        <w:numPr>
          <w:ilvl w:val="0"/>
          <w:numId w:val="8"/>
        </w:numPr>
      </w:pPr>
      <w:r>
        <w:t>Invoice price</w:t>
      </w:r>
    </w:p>
    <w:p>
      <w:pPr>
        <w:pStyle w:val="ListParagraph"/>
        <w:numPr>
          <w:ilvl w:val="0"/>
          <w:numId w:val="8"/>
        </w:numPr>
      </w:pPr>
      <w:r>
        <w:t>Memo amount</w:t>
      </w:r>
    </w:p>
    <w:p>
      <w:r>
        <w:t>This mismatch is the root cause of PRE variances.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9_2_memo_entry_financial_reconciliation" w:id="15"/>
      <w:r>
        <w:rPr>
          <w:b/>
        </w:rPr>
        <w:t>9.2 Memo Entry: Financial Reconciliation</w:t>
      </w:r>
      <w:bookmarkEnd w:id="15"/>
    </w:p>
    <w:p>
      <w:r>
        <w:t>The memo amount represents the vendor’s credit. It may not match the FIFO-valued return.</w:t>
      </w:r>
    </w:p>
    <w:p>
      <w:r>
        <w:t>Your document shows the exact posting:</w:t>
      </w:r>
    </w:p>
    <w:p>
      <w:pPr>
        <w:ind w:left="600"/>
      </w:pPr>
      <w:r>
        <w:t>“DR Accounts Payable $100.00</w:t>
      </w:r>
      <w:r>
        <w:br/>
      </w:r>
      <w:r>
        <w:t>CR PRE $10.00</w:t>
      </w:r>
      <w:r>
        <w:br/>
      </w:r>
      <w:r>
        <w:t>CR PRA $90.00”</w:t>
      </w:r>
    </w:p>
    <w:p>
      <w:r>
        <w:t>Breakdown: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>CR PRA 90</w:t>
      </w:r>
      <w:r>
        <w:t xml:space="preserve"> - reverses the accrual created by the return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>CR PRE 10</w:t>
      </w:r>
      <w:r>
        <w:t xml:space="preserve"> - reconciles the difference between FIFO value (90) and memo amount (100)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>DR AP 100</w:t>
      </w:r>
      <w:r>
        <w:t xml:space="preserve"> - establishes the vendor credit</w:t>
      </w:r>
    </w:p>
    <w:p>
      <w:r>
        <w:t>This is why memos are essential: they reconcile the financial side of the return with the inventory side.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9_3_direct_expensed_po_exception" w:id="16"/>
      <w:r>
        <w:rPr>
          <w:b/>
        </w:rPr>
        <w:t>9.3 Direct-Expensed PO Exception</w:t>
      </w:r>
      <w:bookmarkEnd w:id="16"/>
    </w:p>
    <w:p>
      <w:r>
        <w:t>If the PO line is directly expensed:</w:t>
      </w:r>
    </w:p>
    <w:p>
      <w:pPr>
        <w:ind w:left="600"/>
      </w:pPr>
      <w:r>
        <w:t>“The $10 would go against the expense account on the PO.”</w:t>
      </w:r>
    </w:p>
    <w:p>
      <w:r>
        <w:t>In this case:</w:t>
      </w:r>
    </w:p>
    <w:p>
      <w:pPr>
        <w:pStyle w:val="ListParagraph"/>
        <w:numPr>
          <w:ilvl w:val="0"/>
          <w:numId w:val="10"/>
        </w:numPr>
      </w:pPr>
      <w:r>
        <w:t>PRE is bypassed</w:t>
      </w:r>
    </w:p>
    <w:p>
      <w:pPr>
        <w:pStyle w:val="ListParagraph"/>
        <w:numPr>
          <w:ilvl w:val="0"/>
          <w:numId w:val="10"/>
        </w:numPr>
      </w:pPr>
      <w:r>
        <w:t>The variance goes directly to the PO’s expense account</w:t>
      </w:r>
    </w:p>
    <w:p>
      <w:pPr>
        <w:pStyle w:val="ListParagraph"/>
        <w:numPr>
          <w:ilvl w:val="0"/>
          <w:numId w:val="10"/>
        </w:numPr>
      </w:pPr>
      <w:r>
        <w:t>FIFO valuation does not affect the expense routing</w:t>
      </w:r>
    </w:p>
    <w:p>
      <w:r>
        <w:t>This is the cleanest scenario for returns.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h_10_uninvoiced_receipts_report_the_accrual_gatekeeper" w:id="17"/>
      <w:r>
        <w:rPr>
          <w:b/>
        </w:rPr>
        <w:t>10. Uninvoiced Receipts Report: The Accrual Gatekeeper</w:t>
      </w:r>
      <w:bookmarkEnd w:id="17"/>
    </w:p>
    <w:p>
      <w:r>
        <w:t>Your document outlines the operational steps:</w:t>
      </w:r>
    </w:p>
    <w:p>
      <w:pPr>
        <w:ind w:left="600"/>
      </w:pPr>
      <w:r>
        <w:t>“Print Uninvoiced Receipts Report Detailed... select Site ID... Starting Date... Status... Sequence... Type.”</w:t>
      </w:r>
    </w:p>
    <w:p>
      <w:r>
        <w:t>This report is the authoritative list of PRA exposure.</w:t>
      </w:r>
    </w:p>
    <w:p>
      <w:r>
        <w:t>It includes:</w:t>
      </w:r>
    </w:p>
    <w:p>
      <w:pPr>
        <w:pStyle w:val="ListParagraph"/>
        <w:numPr>
          <w:ilvl w:val="0"/>
          <w:numId w:val="11"/>
        </w:numPr>
      </w:pPr>
      <w:r>
        <w:t>Fully received but un-invoiced lines</w:t>
      </w:r>
    </w:p>
    <w:p>
      <w:pPr>
        <w:pStyle w:val="ListParagraph"/>
        <w:numPr>
          <w:ilvl w:val="0"/>
          <w:numId w:val="11"/>
        </w:numPr>
      </w:pPr>
      <w:r>
        <w:t>Partial receipts</w:t>
      </w:r>
    </w:p>
    <w:p>
      <w:pPr>
        <w:pStyle w:val="ListParagraph"/>
        <w:numPr>
          <w:ilvl w:val="0"/>
          <w:numId w:val="11"/>
        </w:numPr>
      </w:pPr>
      <w:r>
        <w:t>Returns with unresolved PRA</w:t>
      </w:r>
    </w:p>
    <w:p>
      <w:pPr>
        <w:pStyle w:val="ListParagraph"/>
        <w:numPr>
          <w:ilvl w:val="0"/>
          <w:numId w:val="11"/>
        </w:numPr>
      </w:pPr>
      <w:r>
        <w:t>FIFO-driven mismatches</w:t>
      </w:r>
    </w:p>
    <w:p>
      <w:pPr>
        <w:pStyle w:val="ListParagraph"/>
        <w:numPr>
          <w:ilvl w:val="0"/>
          <w:numId w:val="11"/>
        </w:numPr>
      </w:pPr>
      <w:r>
        <w:t>Lines where memo values differ from return values</w:t>
      </w:r>
    </w:p>
    <w:p>
      <w:pPr>
        <w:pStyle w:val="ListParagraph"/>
        <w:numPr>
          <w:ilvl w:val="0"/>
          <w:numId w:val="11"/>
        </w:numPr>
      </w:pPr>
      <w:r>
        <w:t>Any PRA balance not relieved by AP or PRE</w:t>
      </w:r>
    </w:p>
    <w:p>
      <w:r>
        <w:t xml:space="preserve">This report is the </w:t>
      </w:r>
      <w:r>
        <w:rPr>
          <w:b/>
        </w:rPr>
        <w:t>period-close checkpoint</w:t>
      </w:r>
      <w:r>
        <w:t xml:space="preserve"> for accrual completeness.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h_11_ontology_mapping_sqlmesh_integration_next_section" w:id="18"/>
      <w:r>
        <w:rPr>
          <w:b/>
        </w:rPr>
        <w:t>11. Ontology Mapping &amp; SQLMesh Integration (Next Section)</w:t>
      </w:r>
      <w:bookmarkEnd w:id="18"/>
    </w:p>
    <w:p>
      <w:r>
        <w:t>If you want, I’ll continue with:</w:t>
      </w:r>
    </w:p>
    <w:p>
      <w:pPr>
        <w:pStyle w:val="ListParagraph"/>
        <w:numPr>
          <w:ilvl w:val="0"/>
          <w:numId w:val="12"/>
        </w:numPr>
      </w:pPr>
      <w:r>
        <w:t>Ontology vocabulary mapping</w:t>
      </w:r>
    </w:p>
    <w:p>
      <w:pPr>
        <w:pStyle w:val="ListParagraph"/>
        <w:numPr>
          <w:ilvl w:val="0"/>
          <w:numId w:val="12"/>
        </w:numPr>
      </w:pPr>
      <w:r>
        <w:t>SQLMesh governed views</w:t>
      </w:r>
    </w:p>
    <w:p>
      <w:pPr>
        <w:pStyle w:val="ListParagraph"/>
        <w:numPr>
          <w:ilvl w:val="0"/>
          <w:numId w:val="12"/>
        </w:numPr>
      </w:pPr>
      <w:r>
        <w:t>PRA exposure detection logic</w:t>
      </w:r>
    </w:p>
    <w:p>
      <w:pPr>
        <w:pStyle w:val="ListParagraph"/>
        <w:numPr>
          <w:ilvl w:val="0"/>
          <w:numId w:val="12"/>
        </w:numPr>
      </w:pPr>
      <w:r>
        <w:t>Exception classes</w:t>
      </w:r>
    </w:p>
    <w:p>
      <w:pPr>
        <w:pStyle w:val="ListParagraph"/>
        <w:numPr>
          <w:ilvl w:val="0"/>
          <w:numId w:val="12"/>
        </w:numPr>
      </w:pPr>
      <w:r>
        <w:t>Diagrams</w:t>
      </w:r>
    </w:p>
    <w:p>
      <w:pPr>
        <w:pStyle w:val="ListParagraph"/>
        <w:numPr>
          <w:ilvl w:val="0"/>
          <w:numId w:val="12"/>
        </w:numPr>
      </w:pPr>
      <w:r>
        <w:t>Final synthesis</w:t>
      </w:r>
    </w:p>
    <w:p>
      <w:r>
        <w:t xml:space="preserve">Just say </w:t>
      </w:r>
      <w:r>
        <w:rPr>
          <w:b/>
        </w:rPr>
        <w:t>continue</w:t>
      </w:r>
      <w:r>
        <w:t>, and I’ll keep building the full 4-8 page document.</w:t>
      </w:r>
    </w:p>
    <w:sectPr>
      <w:footerReference xmlns:r="http://schemas.openxmlformats.org/officeDocument/2006/relationships" w:type="default" r:id="footer1"/>
      <w:pgSz w:w="12240" w:h="15840"/>
      <w:pgMar w:top="1440" w:right="1440" w:bottom="1440" w:left="1440" w:header="540" w:footer="540" w:gutter="0"/>
    </w:sectPr>
  </w:body>
</w:document>
</file>

<file path=word/footer1.xml><?xml version="1.0" encoding="utf-8"?>
<w:ftr xmlns:w="http://schemas.openxmlformats.org/wordprocessingml/2006/main">
  <w:p>
    <w:pPr>
      <w:pStyle w:val="Footer"/>
      <w:ind w:left="4000"/>
    </w:pPr>
    <w:r>
      <w:drawing>
        <wp:anchor xmlns:wp="http://schemas.openxmlformats.org/drawingml/2006/wordprocessingDrawing" distT="0" distB="0" distL="114300" distR="114300" simplePos="0" relativeHeight="25165824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46990</wp:posOffset>
          </wp:positionV>
          <wp:extent cx="731520" cy="179705"/>
          <wp:effectExtent l="0" t="0" r="0" b="0"/>
          <wp:wrapSquare wrapText="bothSides"/>
          <wp:docPr id="20250715" name="Copilo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50715" name="Copilot Logo"/>
                  <pic:cNvPicPr/>
                </pic:nvPicPr>
                <pic:blipFill>
                  <a:blip xmlns:r="http://schemas.openxmlformats.org/officeDocument/2006/relationships" r:embed="copilotLogo1">
                    <a:extLst>
                      <a:ext uri="{28A0092B-C50C-407E-A947-70E740481C1C}"/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179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</w:rPr>
      <w:t>Copilot may make mistakes</w:t>
    </w:r>
    <w:r>
      <w:ptab w:alignment="right" w:relativeTo="margin" w:leader="none"/>
    </w:r>
    <w:r>
      <w:fldSimple w:instr="PAGE"/>
    </w:r>
  </w:p>
</w:ft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</w:abstractNum>
  <w:abstractNum w:abstractNumId="1">
    <w:multiLevelType w:val="multilevel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</w:abstractNum>
  <w:abstractNum w:abstractNumId="2">
    <w:multiLevelType w:val="multilevel"/>
    <w:lvl w:ilvl="0">
      <w:start w:val="1"/>
      <w:numFmt w:val="bullet"/>
      <w:lvlText w:val=""/>
      <w:lvlJc w:val="left"/>
      <w:pPr>
        <w:ind w:left="0"/>
      </w:pPr>
    </w:lvl>
    <w:lvl w:ilvl="1">
      <w:start w:val="1"/>
      <w:numFmt w:val="bullet"/>
      <w:lvlText w:val=""/>
      <w:lvlJc w:val="left"/>
      <w:pPr>
        <w:ind w:left="360"/>
      </w:pPr>
    </w:lvl>
    <w:lvl w:ilvl="2">
      <w:start w:val="1"/>
      <w:numFmt w:val="bullet"/>
      <w:lvlText w:val=""/>
      <w:lvlJc w:val="left"/>
      <w:pPr>
        <w:ind w:left="72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ettings.xml><?xml version="1.0" encoding="utf-8"?>
<w:settings xmlns:w="http://schemas.openxmlformats.org/wordprocessingml/2006/main">
  <w:hideGrammaticalErrors/>
  <w:hideSpellingErrors/>
  <w:proofState w:spelling="clean" w:grammar="clean"/>
</w:settings>
</file>

<file path=word/styles.xml><?xml version="1.0" encoding="utf-8"?>
<w:styles xmlns:w="http://schemas.openxmlformats.org/wordprocessingml/2006/main">
  <w:docDefaults>
    <w:rPrDefault>
      <w:rPr>
        <w:sz w:val="24"/>
        <w:rFonts w:ascii="Arial" w:hAnsi="Arial"/>
      </w:rPr>
    </w:rPrDefault>
    <w:pPrDefault>
      <w:pPr>
        <w:spacing w:before="60" w:after="60" w:line="360" w:lineRule="auto"/>
      </w:pPr>
    </w:pPrDefault>
  </w:docDefaults>
  <w:style w:type="paragraph" w:styleId="Normal" w:default="true">
    <w:name w:val="Normal"/>
    <w:qFormat/>
  </w:style>
  <w:style w:type="paragraph" w:styleId="heading1">
    <w:name w:val="Heading 1"/>
    <w:basedOn w:val="Normal"/>
    <w:qFormat/>
    <w:rPr>
      <w:sz w:val="28"/>
      <w:b/>
    </w:rPr>
    <w:pPr>
      <w:spacing w:before="360"/>
    </w:pPr>
  </w:style>
  <w:style w:type="paragraph" w:styleId="heading2">
    <w:name w:val="Heading 2"/>
    <w:basedOn w:val="Normal"/>
    <w:qFormat/>
    <w:rPr>
      <w:sz w:val="24"/>
      <w:b/>
    </w:rPr>
    <w:pPr>
      <w:spacing w:before="360"/>
    </w:pPr>
  </w:style>
  <w:style w:type="paragraph" w:styleId="heading3">
    <w:name w:val="Heading 3"/>
    <w:qFormat/>
    <w:basedOn w:val="Normal"/>
    <w:rPr>
      <w:sz w:val="24"/>
      <w:b/>
    </w:rPr>
    <w:pPr>
      <w:spacing w:before="360"/>
    </w:pPr>
  </w:style>
  <w:style w:type="paragraph" w:styleId="ListParagraph">
    <w:name w:val="List Paragraph"/>
    <w:basedOn w:val="Normal"/>
    <w:qFormat/>
    <w:pPr>
      <w:ind w:left="360"/>
      <w:contextualSpacing/>
    </w:pPr>
  </w:style>
  <w:style w:type="character" w:styleId="Code" w:customStyle="true">
    <w:name w:val="Code"/>
    <w:basedOn w:val="Normal"/>
    <w:qFormat/>
    <w:rPr>
      <w:rFonts w:ascii="Consolas"/>
      <w:shd w:val="clear" w:color="auto" w:fill="E1E2E4"/>
    </w:rPr>
  </w:style>
  <w:style w:type="table" w:styleId="CodeBlock">
    <w:name w:val="Code Block"/>
    <w:qFormat/>
    <w:pPr>
      <w:spacing w:line="240" w:lineRule="auto"/>
    </w:pPr>
    <w:rPr>
      <w:sz w:val="20"/>
      <w:rFonts w:ascii="Consolas"/>
    </w:rPr>
    <w:tblPr>
      <w:jc w:val="left"/>
    </w:tblPr>
    <w:tcPr>
      <w:shd w:val="clear" w:color="auto" w:fill="E1E2E4"/>
      <w:tcMar>
        <w:top w:w="60" w:type="dxa"/>
        <w:left w:w="150" w:type="dxa"/>
        <w:bottom w:w="60" w:type="dxa"/>
        <w:right w:w="150" w:type="dxa"/>
      </w:tcMar>
    </w:tcPr>
  </w:style>
  <w:style w:type="table" w:styleId="TableGrid">
    <w:name w:val="Table Grid"/>
    <w:qFormat/>
    <w:rPr>
      <w:sz w:val="20"/>
    </w:rPr>
    <w:tblPr>
      <w:jc w:val="left"/>
      <w:tblW w:w="0" w:type="auto"/>
      <w:tblBorders>
        <w:top w:val="single" w:color="E8E0DC" w:sz="4" w:space="0"/>
        <w:left w:val="single" w:color="E8E0DC" w:sz="4" w:space="0"/>
        <w:bottom w:val="single" w:color="E8E0DC" w:sz="4" w:space="0"/>
        <w:right w:val="single" w:color="E8E0DC" w:sz="4" w:space="0"/>
        <w:insideH w:val="single" w:color="E8E0DC" w:sz="4" w:space="0"/>
        <w:insideV w:val="single" w:color="E8E0DC" w:sz="4" w:space="0"/>
      </w:tblBorders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cPr>
        <w:shd w:val="clear" w:color="auto" w:fill="F4EFED"/>
      </w:tcPr>
    </w:tblStylePr>
  </w:style>
  <w:style w:type="paragraph" w:styleId="Title">
    <w:name w:val="Title"/>
    <w:basedOn w:val="Normal"/>
    <w:qFormat/>
    <w:rPr>
      <w:sz w:val="32"/>
      <w:b/>
    </w:rPr>
    <w:pPr>
      <w:jc w:val="center"/>
      <w:spacing w:before="240" w:after="240"/>
    </w:pPr>
  </w:style>
  <w:style w:type="character" w:styleId="Hyperlink">
    <w:name w:val="Hyperlink"/>
    <w:rPr>
      <w:color w:val="0563C1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1.xml" Id="footer1" /><Relationship Type="http://schemas.openxmlformats.org/officeDocument/2006/relationships/numbering" Target="/word/numbering.xml" Id="Re0ee626ddf1144f3" /><Relationship Type="http://schemas.openxmlformats.org/officeDocument/2006/relationships/settings" Target="/word/settings.xml" Id="R02127c69ec864d86" /><Relationship Type="http://schemas.openxmlformats.org/officeDocument/2006/relationships/styles" Target="/word/styles.xml" Id="R5a8a59562f974cb8" 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image" Target="/media/image.png" Id="copilotLogo1" /></Relationships>
</file>