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31780b145942d2" /><Relationship Type="http://schemas.openxmlformats.org/package/2006/relationships/metadata/core-properties" Target="/package/services/metadata/core-properties/671373b5db24457a91a52a51d92225d1.psmdcp" Id="Re799c4c7785d406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TWM Purchase‑Order Line Accrual Guide</w:t>
      </w:r>
    </w:p>
    <w:p>
      <w:r>
        <w:t xml:space="preserve">Below is a </w:t>
      </w:r>
      <w:r>
        <w:rPr>
          <w:b/>
        </w:rPr>
        <w:t>1-2 page, publication-ready sample</w:t>
      </w:r>
      <w:r>
        <w:t xml:space="preserve"> of your Purchase-Order Line Accrual chapter - structured, authoritative, and directly grounded in the ERP mechanics from your uploaded </w:t>
      </w:r>
      <w:r>
        <w:rPr>
          <w:i/>
        </w:rPr>
        <w:t>Uninvoiced Receivers Report - Detailed</w:t>
      </w:r>
      <w:r>
        <w:t xml:space="preserve"> document. I’ve also expanded the </w:t>
      </w:r>
      <w:r>
        <w:rPr>
          <w:b/>
        </w:rPr>
        <w:t>memo-value section</w:t>
      </w:r>
      <w:r>
        <w:t xml:space="preserve">, because you’re absolutely right: </w:t>
      </w:r>
      <w:r>
        <w:rPr>
          <w:b/>
        </w:rPr>
        <w:t>memos are the key to reconciling cost</w:t>
      </w:r>
      <w:r>
        <w:t xml:space="preserve"> when returns and FIFO layers diverge from PO pricing.</w:t>
      </w:r>
    </w:p>
    <w:p>
      <w:r>
        <w:t>Citations appear where I quote directly from your document.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purchase_order_line_accrual_across_receiving" w:id="1"/>
      <w:r>
        <w:rPr>
          <w:b/>
        </w:rPr>
        <w:t>Purchase-Order Line Accrual Across Receiving</w:t>
      </w:r>
      <w:bookmarkEnd w:id="1"/>
    </w:p>
    <w:p>
      <w:pPr>
        <w:pStyle w:val="heading3"/>
      </w:pPr>
      <w:bookmarkStart w:name="sample_section_1_2_pages" w:id="2"/>
      <w:r>
        <w:rPr>
          <w:i/>
        </w:rPr>
        <w:t>Sample Section (1-2 pages)</w:t>
      </w:r>
      <w:bookmarkEnd w:id="2"/>
    </w:p>
    <w:p>
      <w:pPr>
        <w:pStyle w:val="heading3"/>
      </w:pPr>
      <w:bookmarkStart w:name="for_inclusion_in_your_knowledge_loop_three_way_match_documentation_set" w:id="3"/>
      <w:r>
        <w:rPr>
          <w:i/>
        </w:rPr>
        <w:t>For inclusion in your Knowledge Loop / Three-Way Match documentation set</w:t>
      </w:r>
      <w:bookmarkEnd w:id="3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urpose_of_purchase_order_line_accrual" w:id="4"/>
      <w:r>
        <w:rPr>
          <w:b/>
        </w:rPr>
        <w:t>1. Purpose of Purchase-Order Line Accrual</w:t>
      </w:r>
      <w:bookmarkEnd w:id="4"/>
    </w:p>
    <w:p>
      <w:r>
        <w:t xml:space="preserve">Purchase-order line accrual exists to ensure that </w:t>
      </w:r>
      <w:r>
        <w:rPr>
          <w:b/>
        </w:rPr>
        <w:t>inventory valuation and financial liability remain synchronized</w:t>
      </w:r>
      <w:r>
        <w:t xml:space="preserve"> during the period between receiving material and invoicing it. In VISUAL, this temporary liability is held in the </w:t>
      </w:r>
      <w:r>
        <w:rPr>
          <w:b/>
        </w:rPr>
        <w:t>Purchase Receipt Accrual (PRA)</w:t>
      </w:r>
      <w:r>
        <w:t xml:space="preserve"> account.</w:t>
      </w:r>
    </w:p>
    <w:p>
      <w:r>
        <w:t>When a receipt is posted, the ERP creates the following journal entry:</w:t>
      </w:r>
    </w:p>
    <w:p>
      <w:pPr>
        <w:ind w:left="600"/>
      </w:pPr>
      <w:r>
        <w:t>“DR Inventory / CR Purchase Receipt Accrual (PRA)”</w:t>
      </w:r>
    </w:p>
    <w:p>
      <w:r>
        <w:t>This establishes inventory value while recognizing that the vendor has not yet been paid. PRA persists until the invoice is entered and matched to the receipt.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the_three_way_match_framework" w:id="5"/>
      <w:r>
        <w:rPr>
          <w:b/>
        </w:rPr>
        <w:t>2. The Three-Way Match Framework</w:t>
      </w:r>
      <w:bookmarkEnd w:id="5"/>
    </w:p>
    <w:p>
      <w:r>
        <w:t>The three-way match compares: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PO Line</w:t>
      </w:r>
      <w:r>
        <w:t xml:space="preserve"> (ordered quantity and price)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Receipt Line</w:t>
      </w:r>
      <w:r>
        <w:t xml:space="preserve"> (received quantity and cost layer)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Invoice Line</w:t>
      </w:r>
      <w:r>
        <w:t xml:space="preserve"> (invoiced quantity and vendor-billed amount)</w:t>
      </w:r>
    </w:p>
    <w:p>
      <w:r>
        <w:t>When the invoice is posted, PRA is relieved:</w:t>
      </w:r>
    </w:p>
    <w:p>
      <w:pPr>
        <w:ind w:left="600"/>
      </w:pPr>
      <w:r>
        <w:t>“DR PRA / CR Accounts Payable”</w:t>
      </w:r>
    </w:p>
    <w:p>
      <w:r>
        <w:t>This clears the accrual and transfers the liability to AP. If invoice price differs from receipt price, VISUAL adjusts inventory or PRE depending on linkage and FIFO rules.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partial_receipts_and_accrual_exposure" w:id="6"/>
      <w:r>
        <w:rPr>
          <w:b/>
        </w:rPr>
        <w:t>3. Partial Receipts and Accrual Exposure</w:t>
      </w:r>
      <w:bookmarkEnd w:id="6"/>
    </w:p>
    <w:p>
      <w:r>
        <w:t xml:space="preserve">Partial receipts create a predictable accrual condition: </w:t>
      </w:r>
      <w:r>
        <w:rPr>
          <w:b/>
        </w:rPr>
        <w:t>any PO line with receivedQty &gt; 0 but &lt; orderedQty will appear on the Uninvoiced Receipts Detailed report</w:t>
      </w:r>
      <w:r>
        <w:t xml:space="preserve"> until invoicing catches up.</w:t>
      </w:r>
    </w:p>
    <w:p>
      <w:r>
        <w:t>Your uploaded document confirms:</w:t>
      </w:r>
    </w:p>
    <w:p>
      <w:pPr>
        <w:ind w:left="600"/>
      </w:pPr>
      <w:r>
        <w:t>“The detailed report shows purchase order line detail.”</w:t>
      </w:r>
    </w:p>
    <w:p>
      <w:r>
        <w:t>This is why partial lines are included - the ERP treats any un-invoiced portion of a receipt as PRA exposure. Even if only 1 unit of a 10-unit PO is received, that 1 unit creates PRA, and the line appears on the report until invoicedQty ≥ receivedQty.</w:t>
      </w:r>
    </w:p>
    <w:p>
      <w:r>
        <w:t xml:space="preserve">This behavior is essential for period-close completeness: it ensures that </w:t>
      </w:r>
      <w:r>
        <w:rPr>
          <w:b/>
        </w:rPr>
        <w:t>every received quantity is accounted for</w:t>
      </w:r>
      <w:r>
        <w:t>, even when the PO is still open.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variance_handling_when_invoice_receipt" w:id="7"/>
      <w:r>
        <w:rPr>
          <w:b/>
        </w:rPr>
        <w:t>4. Variance Handling: When Invoice ≠ Receipt</w:t>
      </w:r>
      <w:bookmarkEnd w:id="7"/>
    </w:p>
    <w:p>
      <w:r>
        <w:t>VISUAL supports two variance pathways depending on configuration:</w:t>
      </w:r>
    </w:p>
    <w:p>
      <w:pPr>
        <w:pStyle w:val="heading3"/>
      </w:pPr>
      <w:bookmarkStart w:name="h_4_1_inventory_adjustment_pathway" w:id="8"/>
      <w:r>
        <w:rPr>
          <w:b/>
        </w:rPr>
        <w:t>4.1 Inventory Adjustment Pathway</w:t>
      </w:r>
      <w:bookmarkEnd w:id="8"/>
    </w:p>
    <w:p>
      <w:r>
        <w:t xml:space="preserve">If </w:t>
      </w:r>
      <w:r>
        <w:rPr>
          <w:i/>
        </w:rPr>
        <w:t>Source of Raw Material = AP Invoice</w:t>
      </w:r>
      <w:r>
        <w:t>, the invoice amount overrides the receipt value:</w:t>
      </w:r>
    </w:p>
    <w:p>
      <w:pPr>
        <w:ind w:left="600"/>
      </w:pPr>
      <w:r>
        <w:t>“The receiver will be updated with the value from the invoice... costing will CR PRA 10 / DR Inventory 10.”</w:t>
      </w:r>
    </w:p>
    <w:p>
      <w:r>
        <w:t>This pushes the variance into inventory, not PRE.</w:t>
      </w:r>
    </w:p>
    <w:p>
      <w:pPr>
        <w:pStyle w:val="heading3"/>
      </w:pPr>
      <w:bookmarkStart w:name="h_4_2_pre_purchase_receipt_expense_pathway" w:id="9"/>
      <w:r>
        <w:rPr>
          <w:b/>
        </w:rPr>
        <w:t>4.2 PRE (Purchase Receipt Expense) Pathway</w:t>
      </w:r>
      <w:bookmarkEnd w:id="9"/>
    </w:p>
    <w:p>
      <w:r>
        <w:t>If FIFO valuation determines the receipt value and the invoice differs, PRE absorbs the variance:</w:t>
      </w:r>
    </w:p>
    <w:p>
      <w:pPr>
        <w:ind w:left="600"/>
      </w:pPr>
      <w:r>
        <w:t>“CR PRE $10.00 / CR PRA $90.00”</w:t>
      </w:r>
    </w:p>
    <w:p>
      <w:r>
        <w:t>This occurs when the return or receipt value is derived from FIFO layers rather than PO price.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memo_values_the_hidden_key_to_cost_reconciliation" w:id="10"/>
      <w:r>
        <w:rPr>
          <w:b/>
        </w:rPr>
        <w:t>5. Memo Values: The Hidden Key to Cost Reconciliation</w:t>
      </w:r>
      <w:bookmarkEnd w:id="10"/>
    </w:p>
    <w:p>
      <w:r>
        <w:t xml:space="preserve">You’re exactly right: </w:t>
      </w:r>
      <w:r>
        <w:rPr>
          <w:b/>
        </w:rPr>
        <w:t>memos are the key to reconciling cost</w:t>
      </w:r>
      <w:r>
        <w:t xml:space="preserve"> when returns and FIFO layers diverge from PO pricing.</w:t>
      </w:r>
    </w:p>
    <w:p>
      <w:r>
        <w:t>The document provides a perfect example:</w:t>
      </w:r>
    </w:p>
    <w:p>
      <w:pPr>
        <w:ind w:left="600"/>
      </w:pPr>
      <w:r>
        <w:t>“Return the material... valued at 90.00 due to FIFO layer... The memo is then entered... for 100.00.”</w:t>
      </w:r>
    </w:p>
    <w:p>
      <w:r>
        <w:t>This scenario illustrates why memos matter:</w:t>
      </w:r>
    </w:p>
    <w:p>
      <w:pPr>
        <w:pStyle w:val="heading3"/>
      </w:pPr>
      <w:bookmarkStart w:name="h_5_1_fifo_determines_return_value" w:id="11"/>
      <w:r>
        <w:rPr>
          <w:b/>
        </w:rPr>
        <w:t>5.1 FIFO Determines Return Value</w:t>
      </w:r>
      <w:bookmarkEnd w:id="11"/>
    </w:p>
    <w:p>
      <w:r>
        <w:t>The return is valued at the FIFO layer (90.00), not the PO price (100.00). This creates a mismatch between the return’s inventory value and the vendor’s credit memo.</w:t>
      </w:r>
    </w:p>
    <w:p>
      <w:pPr>
        <w:pStyle w:val="heading3"/>
      </w:pPr>
      <w:bookmarkStart w:name="h_5_2_memo_determines_financial_relief" w:id="12"/>
      <w:r>
        <w:rPr>
          <w:b/>
        </w:rPr>
        <w:t>5.2 Memo Determines Financial Relief</w:t>
      </w:r>
      <w:bookmarkEnd w:id="12"/>
    </w:p>
    <w:p>
      <w:r>
        <w:t>The memo amount (100.00) drives the AP posting:</w:t>
      </w:r>
    </w:p>
    <w:p>
      <w:pPr>
        <w:pStyle w:val="ListParagraph"/>
        <w:numPr>
          <w:ilvl w:val="0"/>
          <w:numId w:val="2"/>
        </w:numPr>
      </w:pPr>
      <w:r>
        <w:t>DR AP 100</w:t>
      </w:r>
    </w:p>
    <w:p>
      <w:pPr>
        <w:pStyle w:val="ListParagraph"/>
        <w:numPr>
          <w:ilvl w:val="0"/>
          <w:numId w:val="2"/>
        </w:numPr>
      </w:pPr>
      <w:r>
        <w:t>CR PRA 90</w:t>
      </w:r>
    </w:p>
    <w:p>
      <w:pPr>
        <w:pStyle w:val="ListParagraph"/>
        <w:numPr>
          <w:ilvl w:val="0"/>
          <w:numId w:val="2"/>
        </w:numPr>
      </w:pPr>
      <w:r>
        <w:t>CR PRE 10</w:t>
      </w:r>
    </w:p>
    <w:p>
      <w:r>
        <w:t xml:space="preserve">The PRE amount (10) is the </w:t>
      </w:r>
      <w:r>
        <w:rPr>
          <w:b/>
        </w:rPr>
        <w:t>cost reconciliation delta</w:t>
      </w:r>
      <w:r>
        <w:t xml:space="preserve"> between FIFO valuation and vendor billing.</w:t>
      </w:r>
    </w:p>
    <w:p>
      <w:pPr>
        <w:pStyle w:val="heading3"/>
      </w:pPr>
      <w:bookmarkStart w:name="h_5_3_why_memos_are_critical" w:id="13"/>
      <w:r>
        <w:rPr>
          <w:b/>
        </w:rPr>
        <w:t>5.3 Why Memos Are Critical</w:t>
      </w:r>
      <w:bookmarkEnd w:id="13"/>
    </w:p>
    <w:p>
      <w:r>
        <w:t xml:space="preserve">Memos are the </w:t>
      </w:r>
      <w:r>
        <w:rPr>
          <w:i/>
        </w:rPr>
        <w:t>only</w:t>
      </w:r>
      <w:r>
        <w:t xml:space="preserve"> document that can reconcile:</w:t>
      </w:r>
    </w:p>
    <w:p>
      <w:pPr>
        <w:pStyle w:val="ListParagraph"/>
        <w:numPr>
          <w:ilvl w:val="0"/>
          <w:numId w:val="3"/>
        </w:numPr>
      </w:pPr>
      <w:r>
        <w:t>FIFO-based return valuation</w:t>
      </w:r>
    </w:p>
    <w:p>
      <w:pPr>
        <w:pStyle w:val="ListParagraph"/>
        <w:numPr>
          <w:ilvl w:val="0"/>
          <w:numId w:val="3"/>
        </w:numPr>
      </w:pPr>
      <w:r>
        <w:t>Vendor-issued credit amount</w:t>
      </w:r>
    </w:p>
    <w:p>
      <w:pPr>
        <w:pStyle w:val="ListParagraph"/>
        <w:numPr>
          <w:ilvl w:val="0"/>
          <w:numId w:val="3"/>
        </w:numPr>
      </w:pPr>
      <w:r>
        <w:t>PRA relief</w:t>
      </w:r>
    </w:p>
    <w:p>
      <w:pPr>
        <w:pStyle w:val="ListParagraph"/>
        <w:numPr>
          <w:ilvl w:val="0"/>
          <w:numId w:val="3"/>
        </w:numPr>
      </w:pPr>
      <w:r>
        <w:t>PRE variance</w:t>
      </w:r>
    </w:p>
    <w:p>
      <w:r>
        <w:t>Without the memo, the ERP cannot resolve the difference between the inventory layer and the vendor’s credit. This is why memos are the “fourth leg” of the three-way match in return scenarios.</w:t>
      </w:r>
    </w:p>
    <w:p>
      <w:pPr>
        <w:pStyle w:val="heading3"/>
      </w:pPr>
      <w:bookmarkStart w:name="h_5_4_direct_expensed_po_exception" w:id="14"/>
      <w:r>
        <w:rPr>
          <w:b/>
        </w:rPr>
        <w:t>5.4 Direct-Expensed PO Exception</w:t>
      </w:r>
      <w:bookmarkEnd w:id="14"/>
    </w:p>
    <w:p>
      <w:r>
        <w:t>If the PO is directly expensed:</w:t>
      </w:r>
    </w:p>
    <w:p>
      <w:pPr>
        <w:ind w:left="600"/>
      </w:pPr>
      <w:r>
        <w:t>“The $10 would go against the expense account on the PO.”</w:t>
      </w:r>
    </w:p>
    <w:p>
      <w:r>
        <w:t>In this case, PRE is bypassed entirely, because the PO line itself defines the expense destination.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the_uninvoiced_receipts_report_as_the_accrual_gatekeeper" w:id="15"/>
      <w:r>
        <w:rPr>
          <w:b/>
        </w:rPr>
        <w:t>6. The Uninvoiced Receipts Report as the Accrual Gatekeeper</w:t>
      </w:r>
      <w:bookmarkEnd w:id="15"/>
    </w:p>
    <w:p>
      <w:r>
        <w:t>Your document outlines the operational steps:</w:t>
      </w:r>
    </w:p>
    <w:p>
      <w:pPr>
        <w:ind w:left="600"/>
      </w:pPr>
      <w:r>
        <w:t>“Print Uninvoiced Receipts Report Detailed... select Site ID... Starting Date... Status... Sequence... Type.”</w:t>
      </w:r>
    </w:p>
    <w:p>
      <w:r>
        <w:t xml:space="preserve">This report is the </w:t>
      </w:r>
      <w:r>
        <w:rPr>
          <w:b/>
        </w:rPr>
        <w:t>period-close gatekeeper</w:t>
      </w:r>
      <w:r>
        <w:t xml:space="preserve"> for accrual completeness. It identifies:</w:t>
      </w:r>
    </w:p>
    <w:p>
      <w:pPr>
        <w:pStyle w:val="ListParagraph"/>
        <w:numPr>
          <w:ilvl w:val="0"/>
          <w:numId w:val="4"/>
        </w:numPr>
      </w:pPr>
      <w:r>
        <w:t>Partial receipts</w:t>
      </w:r>
    </w:p>
    <w:p>
      <w:pPr>
        <w:pStyle w:val="ListParagraph"/>
        <w:numPr>
          <w:ilvl w:val="0"/>
          <w:numId w:val="4"/>
        </w:numPr>
      </w:pPr>
      <w:r>
        <w:t>Fully received but un-invoiced lines</w:t>
      </w:r>
    </w:p>
    <w:p>
      <w:pPr>
        <w:pStyle w:val="ListParagraph"/>
        <w:numPr>
          <w:ilvl w:val="0"/>
          <w:numId w:val="4"/>
        </w:numPr>
      </w:pPr>
      <w:r>
        <w:t>Returns with unresolved PRA</w:t>
      </w:r>
    </w:p>
    <w:p>
      <w:pPr>
        <w:pStyle w:val="ListParagraph"/>
        <w:numPr>
          <w:ilvl w:val="0"/>
          <w:numId w:val="4"/>
        </w:numPr>
      </w:pPr>
      <w:r>
        <w:t>FIFO-driven valuation mismatches</w:t>
      </w:r>
    </w:p>
    <w:p>
      <w:pPr>
        <w:pStyle w:val="ListParagraph"/>
        <w:numPr>
          <w:ilvl w:val="0"/>
          <w:numId w:val="4"/>
        </w:numPr>
      </w:pPr>
      <w:r>
        <w:t>Lines where memo values differ from return values</w:t>
      </w:r>
    </w:p>
    <w:p>
      <w:pPr>
        <w:pStyle w:val="ListParagraph"/>
        <w:numPr>
          <w:ilvl w:val="0"/>
          <w:numId w:val="4"/>
        </w:numPr>
      </w:pPr>
      <w:r>
        <w:t>Any PRA balance that has not been relieved by AP or PRE</w:t>
      </w:r>
    </w:p>
    <w:p>
      <w:r>
        <w:t>This is the report that ensures the PRA account is fully reconciled before closing the period.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summary" w:id="16"/>
      <w:r>
        <w:rPr>
          <w:b/>
        </w:rPr>
        <w:t>7. Summary</w:t>
      </w:r>
      <w:bookmarkEnd w:id="16"/>
    </w:p>
    <w:p>
      <w:r>
        <w:t>This sample section gives you:</w:t>
      </w:r>
    </w:p>
    <w:p>
      <w:pPr>
        <w:pStyle w:val="ListParagraph"/>
        <w:numPr>
          <w:ilvl w:val="0"/>
          <w:numId w:val="5"/>
        </w:numPr>
      </w:pPr>
      <w:r>
        <w:t>A clean narrative of PRA mechanics</w:t>
      </w:r>
    </w:p>
    <w:p>
      <w:pPr>
        <w:pStyle w:val="ListParagraph"/>
        <w:numPr>
          <w:ilvl w:val="0"/>
          <w:numId w:val="5"/>
        </w:numPr>
      </w:pPr>
      <w:r>
        <w:t>A clear explanation of partial-receipt accrual</w:t>
      </w:r>
    </w:p>
    <w:p>
      <w:pPr>
        <w:pStyle w:val="ListParagraph"/>
        <w:numPr>
          <w:ilvl w:val="0"/>
          <w:numId w:val="5"/>
        </w:numPr>
      </w:pPr>
      <w:r>
        <w:t>A precise treatment of variance handling</w:t>
      </w:r>
    </w:p>
    <w:p>
      <w:pPr>
        <w:pStyle w:val="ListParagraph"/>
        <w:numPr>
          <w:ilvl w:val="0"/>
          <w:numId w:val="5"/>
        </w:numPr>
      </w:pPr>
      <w:r>
        <w:t>A dedicated expansion on memo values</w:t>
      </w:r>
    </w:p>
    <w:p>
      <w:pPr>
        <w:pStyle w:val="ListParagraph"/>
        <w:numPr>
          <w:ilvl w:val="0"/>
          <w:numId w:val="5"/>
        </w:numPr>
      </w:pPr>
      <w:r>
        <w:t>Direct citations from your ERP documentation</w:t>
      </w:r>
    </w:p>
    <w:p>
      <w:pPr>
        <w:pStyle w:val="ListParagraph"/>
        <w:numPr>
          <w:ilvl w:val="0"/>
          <w:numId w:val="5"/>
        </w:numPr>
      </w:pPr>
      <w:r>
        <w:t>A structure that fits seamlessly into your knowledge loop</w:t>
      </w:r>
    </w:p>
    <w:p>
      <w:r>
        <w:t>If you want, I can now continue drafting the remaining 3-6 pages - covering ontology mapping, SQLMesh governed views, exception classes, and the full accrual lifecycle diagram set.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43d3fc6fc89f4fb4" /><Relationship Type="http://schemas.openxmlformats.org/officeDocument/2006/relationships/settings" Target="/word/settings.xml" Id="R668a15ca67384756" /><Relationship Type="http://schemas.openxmlformats.org/officeDocument/2006/relationships/styles" Target="/word/styles.xml" Id="Rf743afa8e22f41e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