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233A"/>
          <w:sz w:val="28"/>
          <w:szCs w:val="28"/>
        </w:rPr>
        <w:t xml:space="preserve">AlignSystem</w:t>
      </w:r>
    </w:p>
    <w:p>
      <w:pPr>
        <w:spacing w:after="120"/>
        <w:jc w:val="center"/>
      </w:pPr>
      <w:r>
        <w:rPr>
          <w:b/>
          <w:bCs/>
          <w:color w:val="B3261E"/>
        </w:rPr>
        <w:t xml:space="preserve">MINUTA PARA REVISÃO JURÍDICA — versão de 02/10/2026 — modelo de pagamento 50/30/20</w:t>
      </w:r>
    </w:p>
    <w:p>
      <w:pPr>
        <w:pBdr>
          <w:bottom w:val="single" w:color="157A6E" w:sz="6" w:space="4"/>
        </w:pBdr>
      </w:pPr>
    </w:p>
    <w:p>
      <w:pPr>
        <w:pStyle w:val="Heading1"/>
      </w:pPr>
      <w:r>
        <w:t xml:space="preserve">Nota para a revisão</w:t>
      </w:r>
    </w:p>
    <w:p>
      <w:pPr>
        <w:jc w:val="both"/>
      </w:pPr>
      <w:r>
        <w:t xml:space="preserve">Dra. Roberta, esta versão muda o modelo de pagamento e a composição do valor do tratamento. O restante do contrato é o que a senhora já aprovou.</w:t>
      </w:r>
    </w:p>
    <w:p>
      <w:pPr>
        <w:jc w:val="both"/>
      </w:pPr>
      <w:r>
        <w:t xml:space="preserve">Novo modelo: o valor total é composto por 50% de fornecimento dos alinhadores e 50% de planejamento, despesas operacionais e atendimentos (30% atendimentos presenciais do dentista parceiro e 20% supervisão clínica remota e teleatendimento da AlignSystem). O paciente escolhe entre Pix à vista com 12% de desconto, cartão em até 18x sem juros ou boleto (entrada de 50% por Pix/cartão e saldo em até 18 boletos).</w:t>
      </w:r>
    </w:p>
    <w:p>
      <w:pPr>
        <w:pStyle w:val="Heading2"/>
      </w:pPr>
      <w:r>
        <w:t xml:space="preserve">O que mudou em relação à versão que a senhora aprovou</w:t>
      </w:r>
    </w:p>
    <w:p>
      <w:pPr>
        <w:pStyle w:val="ListParagraph"/>
        <w:numPr>
          <w:ilvl w:val="0"/>
          <w:numId w:val="2"/>
        </w:numPr>
      </w:pPr>
      <w:r>
        <w:t xml:space="preserve">Preâmbulo: o dentista parceiro passa a constar como interveniente, responsável pelos atendimentos presenciais.</w:t>
      </w:r>
    </w:p>
    <w:p>
      <w:pPr>
        <w:pStyle w:val="ListParagraph"/>
        <w:numPr>
          <w:ilvl w:val="0"/>
          <w:numId w:val="2"/>
        </w:numPr>
      </w:pPr>
      <w:r>
        <w:t xml:space="preserve">Cláusula 4.2 (nova): composição do valor — 50% alinhadores, 30% atendimentos do dentista parceiro, 20% supervisão clínica remota e teleatendimento.</w:t>
      </w:r>
    </w:p>
    <w:p>
      <w:pPr>
        <w:pStyle w:val="ListParagraph"/>
        <w:numPr>
          <w:ilvl w:val="0"/>
          <w:numId w:val="2"/>
        </w:numPr>
      </w:pPr>
      <w:r>
        <w:t xml:space="preserve">Cláusula 4.3: formas de pagamento — Pix com 12% de desconto, cartão em até 18x sem juros, ou boleto com entrada de 50% e saldo em até 18 boletos, sujeito a análise de crédito. Saem a entrada parcelada e as mensalidades.</w:t>
      </w:r>
    </w:p>
    <w:p>
      <w:pPr>
        <w:pStyle w:val="ListParagraph"/>
        <w:numPr>
          <w:ilvl w:val="0"/>
          <w:numId w:val="2"/>
        </w:numPr>
      </w:pPr>
      <w:r>
        <w:t xml:space="preserve">Cláusula 4.4: os alinhadores só são encomendados após a confirmação do pagamento (ou da entrada) e após o prazo de arrependimento de 7 dias.</w:t>
      </w:r>
    </w:p>
    <w:p>
      <w:pPr>
        <w:pStyle w:val="ListParagraph"/>
        <w:numPr>
          <w:ilvl w:val="0"/>
          <w:numId w:val="2"/>
        </w:numPr>
      </w:pPr>
      <w:r>
        <w:t xml:space="preserve">Cláusula 8: multa de 2%, juros de 1% ao mês e possibilidade de protesto/negativação no boleto em atraso; contestação indevida no cartão (chargeback) nas mesmas condições.</w:t>
      </w:r>
    </w:p>
    <w:p>
      <w:pPr>
        <w:pStyle w:val="ListParagraph"/>
        <w:numPr>
          <w:ilvl w:val="0"/>
          <w:numId w:val="2"/>
        </w:numPr>
      </w:pPr>
      <w:r>
        <w:t xml:space="preserve">Cláusula 9.2: após o pedido de fabricação, a desistência implica pagar integralmente os 50% dos alinhadores mais multa compensatória de 20% sobre o valor restante.</w:t>
      </w:r>
    </w:p>
    <w:p>
      <w:pPr>
        <w:pStyle w:val="ListParagraph"/>
        <w:numPr>
          <w:ilvl w:val="0"/>
          <w:numId w:val="2"/>
        </w:numPr>
      </w:pPr>
      <w:r>
        <w:t xml:space="preserve">Cláusula 9.3 (nova): desistência depois dos 7 dias, mas antes do pedido de fabricação — paga apenas a multa de 20% sobre o valor restante (documentação e planejamento).</w:t>
      </w:r>
    </w:p>
    <w:p>
      <w:pPr>
        <w:pStyle w:val="Heading2"/>
      </w:pPr>
      <w:r>
        <w:t xml:space="preserve">Pontos que pedem sua atenção</w:t>
      </w:r>
    </w:p>
    <w:p>
      <w:pPr>
        <w:pStyle w:val="ListParagraph"/>
        <w:numPr>
          <w:ilvl w:val="0"/>
          <w:numId w:val="2"/>
        </w:numPr>
      </w:pPr>
      <w:r>
        <w:t xml:space="preserve">Cláusula 9.2: cobrar 50% de alinhadores na desistência é defensável porque o produto é sob medida, mas pode ser reduzido pelo juiz se o custo real for menor (CDC art. 51 e CC art. 413). Vale manter a referência ao custo real?</w:t>
      </w:r>
    </w:p>
    <w:p>
      <w:pPr>
        <w:pStyle w:val="ListParagraph"/>
        <w:numPr>
          <w:ilvl w:val="0"/>
          <w:numId w:val="2"/>
        </w:numPr>
      </w:pPr>
      <w:r>
        <w:t xml:space="preserve">Cláusula 4.4: segurar o pedido dos alinhadores até o fim dos 7 dias (art. 49 do CDC) — confirmar se é a melhor forma de proteger a cobrança da cláusula 9.2.</w:t>
      </w:r>
    </w:p>
    <w:p>
      <w:pPr>
        <w:pStyle w:val="ListParagraph"/>
        <w:numPr>
          <w:ilvl w:val="0"/>
          <w:numId w:val="2"/>
        </w:numPr>
      </w:pPr>
      <w:r>
        <w:t xml:space="preserve">Desconto de 12% no Pix: diferenciação de preço pela forma de pagamento (Lei 13.455/2017). Confirmar a redação.</w:t>
      </w:r>
    </w:p>
    <w:p>
      <w:pPr>
        <w:pStyle w:val="ListParagraph"/>
        <w:numPr>
          <w:ilvl w:val="0"/>
          <w:numId w:val="2"/>
        </w:numPr>
      </w:pPr>
      <w:r>
        <w:t xml:space="preserve">Dentista como interveniente: basta o aceite dele no Termo de Adesão, ou ele deve aceitar também cada contrato de paciente?</w:t>
      </w:r>
    </w:p>
    <w:p>
      <w:pPr>
        <w:pStyle w:val="ListParagraph"/>
        <w:numPr>
          <w:ilvl w:val="0"/>
          <w:numId w:val="2"/>
        </w:numPr>
      </w:pPr>
      <w:r>
        <w:t xml:space="preserve">Venda dos alinhadores (50%): verificar com o contador as implicações fiscais (nota fiscal de produto/ICMS) e eventuais exigências sanitárias para fornecer o dispositivo.</w:t>
      </w:r>
    </w:p>
    <w:p>
      <w:pPr>
        <w:pStyle w:val="ListParagraph"/>
        <w:numPr>
          <w:ilvl w:val="0"/>
          <w:numId w:val="2"/>
        </w:numPr>
      </w:pPr>
      <w:r>
        <w:t xml:space="preserve">Boleto em até 18 parcelas, com protesto/negativação em caso de atraso: confirmar a redação da cláusula 8 e a comunicação prévia exigida pelo CDC (art. 43, § 2º).</w:t>
      </w:r>
    </w:p>
    <w:p>
      <w:pPr>
        <w:pStyle w:val="Heading2"/>
      </w:pPr>
      <w:r>
        <w:t xml:space="preserve">Legenda</w:t>
      </w:r>
    </w:p>
    <w:p>
      <w:pPr>
        <w:pStyle w:val="ListParagraph"/>
        <w:numPr>
          <w:ilvl w:val="0"/>
          <w:numId w:val="2"/>
        </w:numPr>
      </w:pPr>
      <w:r>
        <w:rPr>
          <w:highlight w:val="yellow"/>
        </w:rPr>
        <w:t xml:space="preserve">Trechos em amarelo</w:t>
      </w:r>
      <w:r>
        <w:t xml:space="preserve">: dados preenchidos caso a caso pelo sistema ou valores sugeridos a validar.</w:t>
      </w:r>
    </w:p>
    <w:p>
      <w:pPr>
        <w:pStyle w:val="ListParagraph"/>
        <w:numPr>
          <w:ilvl w:val="0"/>
          <w:numId w:val="2"/>
        </w:numPr>
      </w:pPr>
      <w:r>
        <w:rPr>
          <w:b/>
          <w:bCs/>
        </w:rPr>
        <w:t xml:space="preserve">Trechos em negrito</w:t>
      </w:r>
      <w:r>
        <w:t xml:space="preserve">: cláusulas restritivas destacadas (art. 54, § 4º, do CDC).</w:t>
      </w:r>
    </w:p>
    <w:p>
      <w:r>
        <w:br w:type="page"/>
      </w:r>
    </w:p>
    <w:p>
      <w:pPr>
        <w:pStyle w:val="Heading1"/>
        <w:jc w:val="center"/>
      </w:pPr>
      <w:r>
        <w:t xml:space="preserve">Contrato de prestação de serviços odontológicos</w:t>
      </w:r>
    </w:p>
    <w:p>
      <w:pPr>
        <w:spacing w:after="240"/>
        <w:jc w:val="center"/>
      </w:pPr>
      <w:r>
        <w:rPr>
          <w:i/>
          <w:iCs/>
          <w:color w:val="555555"/>
        </w:rPr>
        <w:t xml:space="preserve">Tratamento ortodôntico com alinhadores transparentes — AlignSystem · Caso nº </w:t>
      </w:r>
      <w:r>
        <w:rPr>
          <w:i/>
          <w:iCs/>
          <w:color w:val="555555"/>
          <w:highlight w:val="yellow"/>
        </w:rPr>
        <w:t xml:space="preserve">[nº]</w:t>
      </w:r>
    </w:p>
    <w:p>
      <w:pPr>
        <w:jc w:val="both"/>
      </w:pPr>
      <w:r>
        <w:rPr>
          <w:b/>
          <w:bCs/>
        </w:rPr>
        <w:t xml:space="preserve">CONTRATANTE:</w:t>
      </w:r>
      <w:r>
        <w:t xml:space="preserve"> </w:t>
      </w:r>
      <w:r>
        <w:rPr>
          <w:highlight w:val="yellow"/>
        </w:rPr>
        <w:t xml:space="preserve">[nome do paciente]</w:t>
      </w:r>
      <w:r>
        <w:t xml:space="preserve">, portador(a) do CPF nº </w:t>
      </w:r>
      <w:r>
        <w:rPr>
          <w:highlight w:val="yellow"/>
        </w:rPr>
        <w:t xml:space="preserve">[CPF]</w:t>
      </w:r>
      <w:r>
        <w:t xml:space="preserve">, residente em </w:t>
      </w:r>
      <w:r>
        <w:rPr>
          <w:highlight w:val="yellow"/>
        </w:rPr>
        <w:t xml:space="preserve">[endereço]</w:t>
      </w:r>
      <w:r>
        <w:t xml:space="preserve"> ("Paciente").</w:t>
      </w:r>
    </w:p>
    <w:p>
      <w:pPr>
        <w:jc w:val="both"/>
      </w:pPr>
      <w:r>
        <w:rPr>
          <w:b/>
          <w:bCs/>
        </w:rPr>
        <w:t xml:space="preserve">CONTRATADA:</w:t>
      </w:r>
      <w:r>
        <w:t xml:space="preserve"> Instituto Ravel de Ensino Superior Ltda, CNPJ nº 03.162.275/0001-10, com sede em Av. XV de Novembro, 255, sobreloja, Maringá/PR, CEP 87013-230, ("Contratada").</w:t>
      </w:r>
    </w:p>
    <w:p>
      <w:pPr>
        <w:jc w:val="both"/>
      </w:pPr>
      <w:r>
        <w:rPr>
          <w:b/>
          <w:bCs/>
        </w:rPr>
        <w:t xml:space="preserve">DENTISTA PARCEIRO(A), interveniente:</w:t>
      </w:r>
      <w:r>
        <w:t xml:space="preserve"> </w:t>
      </w:r>
      <w:r>
        <w:rPr>
          <w:highlight w:val="yellow"/>
        </w:rPr>
        <w:t xml:space="preserve">[dentista responsável]</w:t>
      </w:r>
      <w:r>
        <w:t xml:space="preserve">, CRO-</w:t>
      </w:r>
      <w:r>
        <w:rPr>
          <w:highlight w:val="yellow"/>
        </w:rPr>
        <w:t xml:space="preserve">[UF]</w:t>
      </w:r>
      <w:r>
        <w:t xml:space="preserve"> nº </w:t>
      </w:r>
      <w:r>
        <w:rPr>
          <w:highlight w:val="yellow"/>
        </w:rPr>
        <w:t xml:space="preserve">[CRO]</w:t>
      </w:r>
      <w:r>
        <w:t xml:space="preserve">, credenciado(a) na rede AlignSystem por Termo de Adesão, responsável pelos atendimentos clínicos presenciais do(a) Paciente.</w:t>
      </w:r>
    </w:p>
    <w:p>
      <w:pPr>
        <w:jc w:val="both"/>
      </w:pPr>
      <w:r>
        <w:t xml:space="preserve">As partes acima identificadas têm, entre si, justo e acordado o presente contrato, que se rege pelas cláusulas seguintes.</w:t>
      </w:r>
    </w:p>
    <w:p>
      <w:pPr>
        <w:pStyle w:val="Heading2"/>
      </w:pPr>
      <w:r>
        <w:t xml:space="preserve">1. Objeto</w:t>
      </w:r>
    </w:p>
    <w:p>
      <w:pPr>
        <w:jc w:val="both"/>
      </w:pPr>
      <w:r>
        <w:t xml:space="preserve">O presente contrato tem por objeto a prestação, pela Contratada, de serviço odontológico de tratamento ortodôntico por meio de alinhadores transparentes da marca </w:t>
      </w:r>
      <w:r>
        <w:rPr>
          <w:highlight w:val="yellow"/>
        </w:rPr>
        <w:t xml:space="preserve">[marca do alinhador]</w:t>
      </w:r>
      <w:r>
        <w:t xml:space="preserve">, conforme plano de tratamento elaborado após avaliação e documentação digital do(a) Paciente, que passa a integrar este contrato como Anexo I.</w:t>
      </w:r>
    </w:p>
    <w:p>
      <w:pPr>
        <w:pStyle w:val="Heading2"/>
      </w:pPr>
      <w:r>
        <w:t xml:space="preserve">2. Documentação e planejamento</w:t>
      </w:r>
    </w:p>
    <w:p>
      <w:pPr>
        <w:jc w:val="both"/>
      </w:pPr>
      <w:r>
        <w:t xml:space="preserve">A Contratada realizará escaneamento intraoral, fotografias clínicas e radiografia panorâmica do(a) Paciente, com base nas quais será elaborado o plano de tratamento individualizado, apresentado e aprovado pelo(a) Paciente antes do início da confecção dos alinhadores. A pré-avaliação por fotos realizada pela internet tem caráter apenas orientativo e não substitui o exame clínico presencial.</w:t>
      </w:r>
    </w:p>
    <w:p>
      <w:pPr>
        <w:pStyle w:val="Heading2"/>
      </w:pPr>
      <w:r>
        <w:t xml:space="preserve">3. Prazo do tratamento</w:t>
      </w:r>
    </w:p>
    <w:p>
      <w:pPr>
        <w:jc w:val="both"/>
      </w:pPr>
      <w:r>
        <w:t xml:space="preserve">3.1. O tratamento tem duração estimada de </w:t>
      </w:r>
      <w:r>
        <w:rPr>
          <w:highlight w:val="yellow"/>
        </w:rPr>
        <w:t xml:space="preserve">[nº de]</w:t>
      </w:r>
      <w:r>
        <w:t xml:space="preserve"> meses, respeitado o limite máximo de 36 (trinta e seis) meses previsto neste contrato, podendo variar conforme a resposta biológica individual do(a) Paciente.</w:t>
      </w:r>
    </w:p>
    <w:p>
      <w:pPr>
        <w:jc w:val="both"/>
      </w:pPr>
      <w:r>
        <w:t xml:space="preserve">3.2. Havendo necessidade clínica de prorrogação além do prazo inicialmente estimado, dentro do limite de 36 meses, esta poderá ocorrer sem custo adicional de planejamento, desde que decorrente de evolução normal do tratamento e não de descumprimento das orientações pelo(a) Paciente.</w:t>
      </w:r>
    </w:p>
    <w:p>
      <w:pPr>
        <w:pStyle w:val="Heading2"/>
      </w:pPr>
      <w:r>
        <w:t xml:space="preserve">4. Valor, composição e condições de pagamento</w:t>
      </w:r>
    </w:p>
    <w:p>
      <w:pPr>
        <w:jc w:val="both"/>
      </w:pPr>
      <w:r>
        <w:t xml:space="preserve">4.1. O valor total do tratamento, referente ao protocolo descrito no Anexo I, é de </w:t>
      </w:r>
      <w:r>
        <w:rPr>
          <w:highlight w:val="yellow"/>
        </w:rPr>
        <w:t xml:space="preserve">[valor total]</w:t>
      </w:r>
      <w:r>
        <w:t xml:space="preserve"> ("Contrato Fechado"), cobrindo a documentação inicial, os alinhadores previstos no planejamento aprovado e o acompanhamento clínico durante o tratamento, ressalvadas as hipóteses da Cláusula 5.</w:t>
      </w:r>
    </w:p>
    <w:p>
      <w:pPr>
        <w:jc w:val="both"/>
      </w:pPr>
      <w:r>
        <w:rPr>
          <w:b/>
          <w:bCs/>
        </w:rPr>
        <w:t xml:space="preserve">4.2. Composição do valor.</w:t>
      </w:r>
      <w:r>
        <w:t xml:space="preserve"> O valor total é composto por: (a) </w:t>
      </w:r>
      <w:r>
        <w:rPr>
          <w:b/>
          <w:bCs/>
        </w:rPr>
        <w:t xml:space="preserve">50% (cinquenta por cento) referentes ao fornecimento dos alinhadores</w:t>
      </w:r>
      <w:r>
        <w:t xml:space="preserve"> confeccionados sob medida para o(a) Paciente; e (b) 50% (cinquenta por cento) referentes ao planejamento, às despesas operacionais e aos atendimentos, dos quais 30% do valor total correspondem aos atendimentos clínicos presenciais realizados pelo(a) dentista parceiro(a) indicado(a) no preâmbulo e 20% à supervisão clínica remota e ao teleatendimento prestados pela Contratada.</w:t>
      </w:r>
    </w:p>
    <w:p>
      <w:pPr>
        <w:jc w:val="both"/>
      </w:pPr>
      <w:r>
        <w:t xml:space="preserve">4.3. Formas de pagamento, à escolha do(a) Paciente no link de pagamento: (a) </w:t>
      </w:r>
      <w:r>
        <w:rPr>
          <w:b/>
          <w:bCs/>
        </w:rPr>
        <w:t xml:space="preserve">Pix à vista, com desconto de 12% (doze por cento)</w:t>
      </w:r>
      <w:r>
        <w:t xml:space="preserve"> sobre o valor total; (b) </w:t>
      </w:r>
      <w:r>
        <w:rPr>
          <w:b/>
          <w:bCs/>
        </w:rPr>
        <w:t xml:space="preserve">cartão de crédito em até 18 parcelas sem juros</w:t>
      </w:r>
      <w:r>
        <w:t xml:space="preserve">, com o valor total lançado no limite do cartão; ou (c) </w:t>
      </w:r>
      <w:r>
        <w:rPr>
          <w:b/>
          <w:bCs/>
        </w:rPr>
        <w:t xml:space="preserve">boleto bancário</w:t>
      </w:r>
      <w:r>
        <w:t xml:space="preserve">, com entrada de 50% do valor total paga por Pix ou cartão de crédito, e o saldo em até 18 boletos mensais, sujeito a análise de crédito.</w:t>
      </w:r>
    </w:p>
    <w:p>
      <w:pPr>
        <w:jc w:val="both"/>
      </w:pPr>
      <w:r>
        <w:t xml:space="preserve">4.4. O pedido de fabricação dos alinhadores somente é feito após (i) a confirmação do pagamento integral, no Pix ou no cartão, ou da entrada, no boleto; e (ii) o término do prazo de arrependimento previsto na Cláusula 9.1.</w:t>
      </w:r>
    </w:p>
    <w:p>
      <w:pPr>
        <w:jc w:val="both"/>
      </w:pPr>
      <w:r>
        <w:t xml:space="preserve">4.5. O link de pagamento é emitido pela plataforma de pagamentos utilizada pela Contratada e enviado ao(à) Paciente por e-mail e/ou WhatsApp. Na modalidade boleto, os boletos do saldo são emitidos após a confirmação da entrada.</w:t>
      </w:r>
    </w:p>
    <w:p>
      <w:pPr>
        <w:pStyle w:val="Heading2"/>
      </w:pPr>
      <w:r>
        <w:t xml:space="preserve">5. Alinhadores extraviados ou danificados</w:t>
      </w:r>
    </w:p>
    <w:p>
      <w:pPr>
        <w:jc w:val="both"/>
      </w:pPr>
      <w:r>
        <w:t xml:space="preserve">5.1. Os alinhadores fornecidos são de uso individual e de responsabilidade do(a) Paciente quanto à sua guarda e conservação.</w:t>
      </w:r>
    </w:p>
    <w:p>
      <w:pPr>
        <w:jc w:val="both"/>
      </w:pPr>
      <w:r>
        <w:rPr>
          <w:b/>
          <w:bCs/>
        </w:rPr>
        <w:t xml:space="preserve">5.2. Em caso de perda, quebra ou dano ao alinhador por mau uso, será cobrado o valor adicional de reposição de </w:t>
      </w:r>
      <w:r>
        <w:rPr>
          <w:b/>
          <w:bCs/>
          <w:highlight w:val="yellow"/>
        </w:rPr>
        <w:t xml:space="preserve">[valor de reposição]</w:t>
      </w:r>
      <w:r>
        <w:rPr>
          <w:b/>
          <w:bCs/>
        </w:rPr>
        <w:t xml:space="preserve"> por unidade, não incluído no valor do Contrato Fechado descrito na Cláusula 4.</w:t>
      </w:r>
    </w:p>
    <w:p>
      <w:pPr>
        <w:jc w:val="both"/>
      </w:pPr>
      <w:r>
        <w:t xml:space="preserve">5.3. Substituições decorrentes de defeito de fabricação não geram cobrança adicional ao(à) Paciente.</w:t>
      </w:r>
    </w:p>
    <w:p>
      <w:pPr>
        <w:pStyle w:val="Heading2"/>
      </w:pPr>
      <w:r>
        <w:t xml:space="preserve">6. Obrigações do(a) Paciente</w:t>
      </w:r>
    </w:p>
    <w:p>
      <w:pPr>
        <w:pStyle w:val="ListParagraph"/>
        <w:numPr>
          <w:ilvl w:val="0"/>
          <w:numId w:val="3"/>
        </w:numPr>
        <w:jc w:val="both"/>
      </w:pPr>
      <w:r>
        <w:t xml:space="preserve">comparecer às consultas agendadas e seguir as orientações de uso dos alinhadores;</w:t>
      </w:r>
    </w:p>
    <w:p>
      <w:pPr>
        <w:pStyle w:val="ListParagraph"/>
        <w:numPr>
          <w:ilvl w:val="0"/>
          <w:numId w:val="3"/>
        </w:numPr>
        <w:jc w:val="both"/>
      </w:pPr>
      <w:r>
        <w:t xml:space="preserve">usar os alinhadores pelo tempo diário recomendado pelo profissional responsável;</w:t>
      </w:r>
    </w:p>
    <w:p>
      <w:pPr>
        <w:pStyle w:val="ListParagraph"/>
        <w:numPr>
          <w:ilvl w:val="0"/>
          <w:numId w:val="3"/>
        </w:numPr>
        <w:jc w:val="both"/>
      </w:pPr>
      <w:r>
        <w:t xml:space="preserve">comunicar imediatamente qualquer perda, quebra ou desconforto significativo;</w:t>
      </w:r>
    </w:p>
    <w:p>
      <w:pPr>
        <w:pStyle w:val="ListParagraph"/>
        <w:numPr>
          <w:ilvl w:val="0"/>
          <w:numId w:val="3"/>
        </w:numPr>
        <w:jc w:val="both"/>
      </w:pPr>
      <w:r>
        <w:t xml:space="preserve">efetuar os pagamentos na forma escolhida, conforme a Cláusula 4.</w:t>
      </w:r>
    </w:p>
    <w:p>
      <w:pPr>
        <w:pStyle w:val="Heading2"/>
      </w:pPr>
      <w:r>
        <w:t xml:space="preserve">7. Obrigações da Contratada</w:t>
      </w:r>
    </w:p>
    <w:p>
      <w:pPr>
        <w:pStyle w:val="ListParagraph"/>
        <w:numPr>
          <w:ilvl w:val="0"/>
          <w:numId w:val="3"/>
        </w:numPr>
        <w:jc w:val="both"/>
      </w:pPr>
      <w:r>
        <w:t xml:space="preserve">prestar o serviço com a técnica e o cuidado exigidos pela boa prática odontológica;</w:t>
      </w:r>
    </w:p>
    <w:p>
      <w:pPr>
        <w:pStyle w:val="ListParagraph"/>
        <w:numPr>
          <w:ilvl w:val="0"/>
          <w:numId w:val="3"/>
        </w:numPr>
        <w:jc w:val="both"/>
      </w:pPr>
      <w:r>
        <w:t xml:space="preserve">fornecer os alinhadores conforme o plano de tratamento aprovado;</w:t>
      </w:r>
    </w:p>
    <w:p>
      <w:pPr>
        <w:pStyle w:val="ListParagraph"/>
        <w:numPr>
          <w:ilvl w:val="0"/>
          <w:numId w:val="3"/>
        </w:numPr>
        <w:jc w:val="both"/>
      </w:pPr>
      <w:r>
        <w:t xml:space="preserve">informar o(a) Paciente sobre a evolução do tratamento e eventuais ajustes necessários;</w:t>
      </w:r>
    </w:p>
    <w:p>
      <w:pPr>
        <w:pStyle w:val="ListParagraph"/>
        <w:numPr>
          <w:ilvl w:val="0"/>
          <w:numId w:val="3"/>
        </w:numPr>
        <w:jc w:val="both"/>
      </w:pPr>
      <w:r>
        <w:t xml:space="preserve">manter sigilo sobre os dados e prontuário do(a) Paciente, nos termos da LGPD.</w:t>
      </w:r>
    </w:p>
    <w:p>
      <w:pPr>
        <w:pStyle w:val="Heading2"/>
      </w:pPr>
      <w:r>
        <w:t xml:space="preserve">8. Atraso e contestação</w:t>
      </w:r>
    </w:p>
    <w:p>
      <w:pPr>
        <w:jc w:val="both"/>
      </w:pPr>
      <w:r>
        <w:rPr>
          <w:b/>
          <w:bCs/>
        </w:rPr>
        <w:t xml:space="preserve">Na modalidade boleto, o atraso no pagamento de qualquer parcela sujeitará o(a) Paciente à multa de 2% (dois por cento) sobre o valor em atraso, acrescida de juros de mora de 1% (um por cento) ao mês, calculados pro rata die, e de correção monetária, podendo o débito ser levado a protesto ou aos cadastros de proteção ao crédito após comunicação prévia. A contestação indevida da compra junto à operadora do cartão (chargeback) torna o valor contestado devido nas mesmas condições.</w:t>
      </w:r>
    </w:p>
    <w:p>
      <w:pPr>
        <w:pStyle w:val="Heading2"/>
      </w:pPr>
      <w:r>
        <w:t xml:space="preserve">9. Rescisão e desistência</w:t>
      </w:r>
    </w:p>
    <w:p>
      <w:pPr>
        <w:jc w:val="both"/>
      </w:pPr>
      <w:r>
        <w:t xml:space="preserve">9.1. Caso a contratação tenha ocorrido fora do estabelecimento comercial (ex.: internet, telefone, domicílio), o(a) Paciente poderá exercer o direito de arrependimento em até 7 (sete) dias corridos a contar da assinatura, nos termos do art. 49 do Código de Defesa do Consumidor, com devolução integral dos valores eventualmente pagos.</w:t>
      </w:r>
    </w:p>
    <w:p>
      <w:pPr>
        <w:jc w:val="both"/>
      </w:pPr>
      <w:r>
        <w:rPr>
          <w:b/>
          <w:bCs/>
        </w:rPr>
        <w:t xml:space="preserve">9.2. Após esse prazo e depois do pedido de fabricação dos alinhadores, a desistência pelo(a) Paciente implicará o pagamento integral da parcela referente aos alinhadores (50% do valor total), por se tratar de produto confeccionado sob medida e sem possibilidade de reaproveitamento, acrescido de multa compensatória de 20% (vinte por cento) sobre o valor restante (50% do valor total), deduzidos os valores já pagos. Havendo saldo a favor do(a) Paciente, será restituído em até 30 (trinta) dias; havendo saldo devedor, deverá ser pago em até 30 (trinta) dias.</w:t>
      </w:r>
    </w:p>
    <w:p>
      <w:pPr>
        <w:jc w:val="both"/>
      </w:pPr>
      <w:r>
        <w:t xml:space="preserve">9.3. Se a desistência ocorrer após o prazo de arrependimento, mas antes do pedido de fabricação dos alinhadores, o(a) Paciente pagará apenas a multa compensatória de 20% sobre o valor restante (50% do valor total), que cobre a documentação e o planejamento já realizados, sendo restituído o saldo em até 30 (trinta) dias.</w:t>
      </w:r>
    </w:p>
    <w:p>
      <w:pPr>
        <w:jc w:val="both"/>
      </w:pPr>
      <w:r>
        <w:t xml:space="preserve">9.4. A Contratada poderá rescindir o contrato em caso de descumprimento reiterado das orientações clínicas pelo(a) Paciente que inviabilize a continuidade segura do tratamento, mediante comunicação prévia por escrito.</w:t>
      </w:r>
    </w:p>
    <w:p>
      <w:pPr>
        <w:pStyle w:val="Heading2"/>
      </w:pPr>
      <w:r>
        <w:t xml:space="preserve">10. Uso de imagem</w:t>
      </w:r>
    </w:p>
    <w:p>
      <w:pPr>
        <w:jc w:val="both"/>
      </w:pPr>
      <w:r>
        <w:t xml:space="preserve">O uso de fotografias do(a) Paciente para fins de divulgação da Contratada é facultativo e depende de consentimento específico e destacado, a ser formalizado em termo apartado, podendo ser revogado a qualquer tempo pelo(a) Paciente. As fotos enviadas pela plataforma são usadas exclusivamente para avaliação e acompanhamento clínico.</w:t>
      </w:r>
    </w:p>
    <w:p>
      <w:pPr>
        <w:pStyle w:val="Heading2"/>
      </w:pPr>
      <w:r>
        <w:t xml:space="preserve">11. Proteção de dados (LGPD)</w:t>
      </w:r>
    </w:p>
    <w:p>
      <w:pPr>
        <w:jc w:val="both"/>
      </w:pPr>
      <w:r>
        <w:t xml:space="preserve">Os dados pessoais e de saúde do(a) Paciente serão tratados exclusivamente para as finalidades relacionadas à execução deste contrato, com as salvaguardas exigidas pela Lei nº 13.709/2018, podendo o(a) Paciente exercer os direitos previstos na referida lei mediante solicitação pelo e-mail contato@alignsystem.com.br.</w:t>
      </w:r>
    </w:p>
    <w:p>
      <w:pPr>
        <w:pStyle w:val="Heading2"/>
      </w:pPr>
      <w:r>
        <w:t xml:space="preserve">12. Assinatura eletrônica</w:t>
      </w:r>
    </w:p>
    <w:p>
      <w:pPr>
        <w:jc w:val="both"/>
      </w:pPr>
      <w:r>
        <w:t xml:space="preserve">As partes reconhecem a validade da contratação e da assinatura por meio eletrônico, com aceite registrado na plataforma AlignSystem (identificação do signatário, data, hora, endereço IP e código de integridade do documento), nos termos do art. 10, § 2º, da Medida Provisória nº 2.200-2/2001 e do art. 107 do Código Civil.</w:t>
      </w:r>
    </w:p>
    <w:p>
      <w:pPr>
        <w:pStyle w:val="Heading2"/>
      </w:pPr>
      <w:r>
        <w:t xml:space="preserve">13. Foro</w:t>
      </w:r>
    </w:p>
    <w:p>
      <w:pPr>
        <w:jc w:val="both"/>
      </w:pPr>
      <w:r>
        <w:t xml:space="preserve">Fica eleito o foro do domicílio do(a) Paciente para dirimir quaisquer questões oriundas deste contrato, em conformidade com o Código de Defesa do Consumidor.</w:t>
      </w:r>
    </w:p>
    <w:p>
      <w:pPr>
        <w:pStyle w:val="Heading2"/>
      </w:pPr>
      <w:r>
        <w:t xml:space="preserve">Anexo I — Plano de tratamento</w:t>
      </w:r>
    </w:p>
    <w:p>
      <w:pPr>
        <w:jc w:val="both"/>
      </w:pPr>
      <w:r>
        <w:rPr>
          <w:highlight w:val="yellow"/>
        </w:rPr>
        <w:t xml:space="preserve">[Resumo do plano de tratamento aprovado: número estimado de alinhadores, etapas e consultas de acompanhamento — preenchido caso a caso.]</w:t>
      </w:r>
    </w:p>
    <w:p>
      <w:pPr>
        <w:jc w:val="both"/>
      </w:pPr>
      <w:r>
        <w:rPr>
          <w:highlight w:val="yellow"/>
        </w:rPr>
        <w:t xml:space="preserve">[Cidade]</w:t>
      </w:r>
      <w:r>
        <w:t xml:space="preserve">, </w:t>
      </w:r>
      <w:r>
        <w:rPr>
          <w:highlight w:val="yellow"/>
        </w:rPr>
        <w:t xml:space="preserve">[data]</w:t>
      </w:r>
      <w:r>
        <w:t xml:space="preserve">.</w:t>
      </w:r>
    </w:p>
    <w:p>
      <w:pPr>
        <w:pStyle w:val="Heading2"/>
      </w:pPr>
      <w:r>
        <w:t xml:space="preserve">Assinaturas</w:t>
      </w:r>
    </w:p>
    <w:p>
      <w:pPr>
        <w:jc w:val="both"/>
      </w:pPr>
      <w:r>
        <w:t xml:space="preserve">Contratação por aceite eletrônico na plataforma AlignSystem. O sistema registra, ao final do documento: nome completo digitado, CPF/CNPJ, data e hora, endereço IP, navegador e código de integridade SHA-256 do texto aceito. Para assinatura física, utilizar as linhas abaixo.</w:t>
      </w:r>
    </w:p>
    <w:p>
      <w:pPr>
        <w:spacing w:before="480"/>
      </w:pPr>
      <w:r>
        <w:t xml:space="preserve">____________________________________________</w:t>
      </w:r>
    </w:p>
    <w:p>
      <w:r>
        <w:rPr>
          <w:highlight w:val="yellow"/>
        </w:rPr>
        <w:t xml:space="preserve">[Nome do(a) Paciente]</w:t>
      </w:r>
      <w:r>
        <w:t xml:space="preserve"> — CPF nº </w:t>
      </w:r>
      <w:r>
        <w:rPr>
          <w:highlight w:val="yellow"/>
        </w:rPr>
        <w:t xml:space="preserve">[•]</w:t>
      </w:r>
    </w:p>
    <w:p>
      <w:pPr>
        <w:spacing w:before="480"/>
      </w:pPr>
      <w:r>
        <w:t xml:space="preserve">____________________________________________</w:t>
      </w:r>
    </w:p>
    <w:p>
      <w:r>
        <w:t xml:space="preserve">Instituto Ravel de Ensino Superior Ltda (AlignSystem) — </w:t>
      </w:r>
      <w:r>
        <w:rPr>
          <w:highlight w:val="yellow"/>
        </w:rPr>
        <w:t xml:space="preserve">[representante legal]</w:t>
      </w:r>
    </w:p>
    <w:p>
      <w:pPr>
        <w:spacing w:before="480"/>
      </w:pPr>
      <w:r>
        <w:t xml:space="preserve">____________________________________________</w:t>
      </w:r>
    </w:p>
    <w:p>
      <w:r>
        <w:t xml:space="preserve">Dentista parceiro(a) — CRO-</w:t>
      </w:r>
      <w:r>
        <w:rPr>
          <w:highlight w:val="yellow"/>
        </w:rPr>
        <w:t xml:space="preserve">[UF]</w:t>
      </w:r>
      <w:r>
        <w:t xml:space="preserve"> nº </w:t>
      </w:r>
      <w:r>
        <w:rPr>
          <w:highlight w:val="yellow"/>
        </w:rPr>
        <w:t xml:space="preserve">[•]</w:t>
      </w:r>
    </w:p>
    <w:p>
      <w:pPr>
        <w:spacing w:before="480"/>
      </w:pPr>
      <w:r>
        <w:t xml:space="preserve">____________________________________________</w:t>
      </w:r>
    </w:p>
    <w:p>
      <w:r>
        <w:t xml:space="preserve">Testemunha 1 — CPF nº </w:t>
      </w:r>
      <w:r>
        <w:rPr>
          <w:highlight w:val="yellow"/>
        </w:rPr>
        <w:t xml:space="preserve">[•]</w:t>
      </w:r>
    </w:p>
    <w:p>
      <w:pPr>
        <w:spacing w:before="480"/>
      </w:pPr>
      <w:r>
        <w:t xml:space="preserve">____________________________________________</w:t>
      </w:r>
    </w:p>
    <w:p>
      <w:r>
        <w:t xml:space="preserve">Testemunha 2 — CPF nº </w:t>
      </w:r>
      <w:r>
        <w:rPr>
          <w:highlight w:val="yellow"/>
        </w:rPr>
        <w:t xml:space="preserve">[•]</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Contrato de Tratamento — Paciente — minuta para revisão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2233A"/>
      <w:sz w:val="28"/>
      <w:szCs w:val="28"/>
    </w:rPr>
  </w:style>
  <w:style w:type="paragraph" w:styleId="Heading2">
    <w:name w:val="Heading 2"/>
    <w:basedOn w:val="Normal"/>
    <w:next w:val="Normal"/>
    <w:qFormat/>
    <w:pPr>
      <w:keepNext/>
      <w:spacing w:after="100" w:before="220"/>
      <w:outlineLvl w:val="1"/>
    </w:pPr>
    <w:rPr>
      <w:b/>
      <w:bCs/>
      <w:color w:val="157A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Tratamento — Paciente</dc:title>
  <dc:creator>AlignSystem</dc:creator>
  <cp:lastModifiedBy>Un-named</cp:lastModifiedBy>
  <cp:revision>1</cp:revision>
  <dcterms:created xsi:type="dcterms:W3CDTF">2026-10-02T05:00:30.429Z</dcterms:created>
  <dcterms:modified xsi:type="dcterms:W3CDTF">2026-10-02T05:00:30.430Z</dcterms:modified>
</cp:coreProperties>
</file>

<file path=docProps/custom.xml><?xml version="1.0" encoding="utf-8"?>
<Properties xmlns="http://schemas.openxmlformats.org/officeDocument/2006/custom-properties" xmlns:vt="http://schemas.openxmlformats.org/officeDocument/2006/docPropsVTypes"/>
</file>