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2233A"/>
          <w:sz w:val="28"/>
          <w:szCs w:val="28"/>
        </w:rPr>
        <w:t xml:space="preserve">AlignSystem</w:t>
      </w:r>
    </w:p>
    <w:p>
      <w:pPr>
        <w:spacing w:after="120"/>
        <w:jc w:val="center"/>
      </w:pPr>
      <w:r>
        <w:rPr>
          <w:b/>
          <w:bCs/>
          <w:color w:val="B3261E"/>
        </w:rPr>
        <w:t xml:space="preserve">MINUTA PARA REVISÃO JURÍDICA — versão final de 02/10/2026</w:t>
      </w:r>
    </w:p>
    <w:p>
      <w:pPr>
        <w:pBdr>
          <w:bottom w:val="single" w:color="157A6E" w:sz="6" w:space="4"/>
        </w:pBdr>
      </w:pPr>
    </w:p>
    <w:p>
      <w:pPr>
        <w:pStyle w:val="Heading1"/>
      </w:pPr>
      <w:r>
        <w:t xml:space="preserve">Nota para a revisão</w:t>
      </w:r>
    </w:p>
    <w:p>
      <w:pPr>
        <w:jc w:val="both"/>
      </w:pPr>
      <w:r>
        <w:t xml:space="preserve">Dra. Roberta, este é o contrato do paciente no modelo rede: o Instituto Ravel (AlignSystem) recebe 100% do valor e paga diretamente os dentistas credenciados pelas consultas presenciais. Não há dentista interveniente.</w:t>
      </w:r>
    </w:p>
    <w:p>
      <w:pPr>
        <w:jc w:val="both"/>
      </w:pPr>
      <w:r>
        <w:t xml:space="preserve">Antes do contrato, o paciente responde na plataforma onde mora. Até 300 km do dentista credenciado mais próximo, ele aceita ser atendido por qualquer credenciado nesse raio (ou prefere o mais próximo), com deslocamento por conta dele. Acima de 300 km, o valor de 4 deslocamentos de ida e volta em ônibus convencional é somado ao preço.</w:t>
      </w:r>
    </w:p>
    <w:p>
      <w:pPr>
        <w:pStyle w:val="Heading2"/>
      </w:pPr>
      <w:r>
        <w:t xml:space="preserve">O que mudou em relação à versão que a senhora aprovou</w:t>
      </w:r>
    </w:p>
    <w:p>
      <w:pPr>
        <w:pStyle w:val="ListParagraph"/>
        <w:numPr>
          <w:ilvl w:val="0"/>
          <w:numId w:val="2"/>
        </w:numPr>
      </w:pPr>
      <w:r>
        <w:t xml:space="preserve">Preâmbulo: sem dentista interveniente; a Contratada responde pelo tratamento.</w:t>
      </w:r>
    </w:p>
    <w:p>
      <w:pPr>
        <w:pStyle w:val="ListParagraph"/>
        <w:numPr>
          <w:ilvl w:val="0"/>
          <w:numId w:val="2"/>
        </w:numPr>
      </w:pPr>
      <w:r>
        <w:t xml:space="preserve">Cláusulas 3.3 e 3.4 (novas): o contrato inclui até 8 consultas presenciais nos casos simples, 10 nos de média complexidade e 15 nos complexos (classificação definida no planejamento). Atingido o limite sem concluir o tratamento, novas consultas e alinhadores adicionais são contratados por termo aditivo e pagos pelo paciente, com valores informados antes.</w:t>
      </w:r>
    </w:p>
    <w:p>
      <w:pPr>
        <w:pStyle w:val="ListParagraph"/>
        <w:numPr>
          <w:ilvl w:val="0"/>
          <w:numId w:val="2"/>
        </w:numPr>
      </w:pPr>
      <w:r>
        <w:t xml:space="preserve">Cláusula 3.2: a prorrogação dentro de 36 meses continua sem custo de planejamento, mas observa o limite de consultas.</w:t>
      </w:r>
    </w:p>
    <w:p>
      <w:pPr>
        <w:pStyle w:val="ListParagraph"/>
        <w:numPr>
          <w:ilvl w:val="0"/>
          <w:numId w:val="2"/>
        </w:numPr>
      </w:pPr>
      <w:r>
        <w:t xml:space="preserve">Cláusula 4.1: o acompanhamento clínico incluído fica limitado às consultas da cláusula 3.3.</w:t>
      </w:r>
    </w:p>
    <w:p>
      <w:pPr>
        <w:pStyle w:val="ListParagraph"/>
        <w:numPr>
          <w:ilvl w:val="0"/>
          <w:numId w:val="2"/>
        </w:numPr>
      </w:pPr>
      <w:r>
        <w:t xml:space="preserve">Cláusula 4.2 (nova): composição do valor — 50% alinhadores e 50% planejamento, despesas operacionais e atendimentos.</w:t>
      </w:r>
    </w:p>
    <w:p>
      <w:pPr>
        <w:pStyle w:val="ListParagraph"/>
        <w:numPr>
          <w:ilvl w:val="0"/>
          <w:numId w:val="2"/>
        </w:numPr>
      </w:pPr>
      <w:r>
        <w:t xml:space="preserve">Cláusula 4.3: pagamento por Pix à vista com 12% de desconto, cartão em até 18x sem juros, ou boleto (entrada de 50% por Pix/cartão e saldo em até 18 boletos, com análise de crédito). Saem a entrada parcelada e as mensalidades.</w:t>
      </w:r>
    </w:p>
    <w:p>
      <w:pPr>
        <w:pStyle w:val="ListParagraph"/>
        <w:numPr>
          <w:ilvl w:val="0"/>
          <w:numId w:val="2"/>
        </w:numPr>
      </w:pPr>
      <w:r>
        <w:t xml:space="preserve">Cláusula 4.4: os alinhadores só são encomendados após a confirmação do pagamento (ou da entrada) e o fim do prazo de arrependimento de 7 dias.</w:t>
      </w:r>
    </w:p>
    <w:p>
      <w:pPr>
        <w:pStyle w:val="ListParagraph"/>
        <w:numPr>
          <w:ilvl w:val="0"/>
          <w:numId w:val="2"/>
        </w:numPr>
      </w:pPr>
      <w:r>
        <w:t xml:space="preserve">Cláusula 8: atraso no boleto (multa de 2%, juros de 1% ao mês, protesto/negativação com aviso prévio) e contestação indevida no cartão.</w:t>
      </w:r>
    </w:p>
    <w:p>
      <w:pPr>
        <w:pStyle w:val="ListParagraph"/>
        <w:numPr>
          <w:ilvl w:val="0"/>
          <w:numId w:val="2"/>
        </w:numPr>
      </w:pPr>
      <w:r>
        <w:t xml:space="preserve">Cláusula 9.2: após o pedido dos alinhadores, a desistência implica pagar os 50% dos alinhadores mais multa de 20% sobre o valor restante. Nova 9.3: antes do pedido, só a multa de 20% sobre o restante.</w:t>
      </w:r>
    </w:p>
    <w:p>
      <w:pPr>
        <w:pStyle w:val="ListParagraph"/>
        <w:numPr>
          <w:ilvl w:val="0"/>
          <w:numId w:val="2"/>
        </w:numPr>
      </w:pPr>
      <w:r>
        <w:t xml:space="preserve">Cláusula 4.1: o valor dos deslocamentos (quando houver) é somado ao valor do tratamento.</w:t>
      </w:r>
    </w:p>
    <w:p>
      <w:pPr>
        <w:pStyle w:val="ListParagraph"/>
        <w:numPr>
          <w:ilvl w:val="0"/>
          <w:numId w:val="2"/>
        </w:numPr>
      </w:pPr>
      <w:r>
        <w:t xml:space="preserve">Nova cláusula 10 (Atendimento presencial e deslocamento): atendimento por qualquer dentista credenciado em até 300 km; deslocamento por conta do paciente; acima de 300 km, 4 deslocamentos incluídos no preço; registro da opção escolhida no questionário. As cláusulas seguintes foram renumeradas (11 a 14).</w:t>
      </w:r>
    </w:p>
    <w:p>
      <w:pPr>
        <w:pStyle w:val="Heading2"/>
      </w:pPr>
      <w:r>
        <w:t xml:space="preserve">Pontos que pedem sua atenção</w:t>
      </w:r>
    </w:p>
    <w:p>
      <w:pPr>
        <w:pStyle w:val="ListParagraph"/>
        <w:numPr>
          <w:ilvl w:val="0"/>
          <w:numId w:val="2"/>
        </w:numPr>
      </w:pPr>
      <w:r>
        <w:t xml:space="preserve">Limite de consultas (3.3/3.4): cobrar consultas e alinhadores extras por aditivo quando o tratamento não termina no limite. É seguro diante do CDC, já que a duração depende da resposta biológica do paciente? A redação deixa claro que os valores são informados antes?</w:t>
      </w:r>
    </w:p>
    <w:p>
      <w:pPr>
        <w:pStyle w:val="ListParagraph"/>
        <w:numPr>
          <w:ilvl w:val="0"/>
          <w:numId w:val="2"/>
        </w:numPr>
      </w:pPr>
      <w:r>
        <w:t xml:space="preserve">Cláusula 9.2: cobrar 50% de alinhadores na desistência é defensável por serem sob medida, mas pode ser reduzido pelo juiz se o custo real for menor (CDC art. 51 e CC art. 413).</w:t>
      </w:r>
    </w:p>
    <w:p>
      <w:pPr>
        <w:pStyle w:val="ListParagraph"/>
        <w:numPr>
          <w:ilvl w:val="0"/>
          <w:numId w:val="2"/>
        </w:numPr>
      </w:pPr>
      <w:r>
        <w:t xml:space="preserve">Desconto de 12% no Pix: diferenciação de preço pela forma de pagamento (Lei 13.455/2017). Confirmar a redação.</w:t>
      </w:r>
    </w:p>
    <w:p>
      <w:pPr>
        <w:pStyle w:val="ListParagraph"/>
        <w:numPr>
          <w:ilvl w:val="0"/>
          <w:numId w:val="2"/>
        </w:numPr>
      </w:pPr>
      <w:r>
        <w:t xml:space="preserve">Venda dos alinhadores (50%): implicações fiscais (nota de produto/ICMS) e sanitárias — a confirmar com o contador.</w:t>
      </w:r>
    </w:p>
    <w:p>
      <w:pPr>
        <w:pStyle w:val="ListParagraph"/>
        <w:numPr>
          <w:ilvl w:val="0"/>
          <w:numId w:val="2"/>
        </w:numPr>
      </w:pPr>
      <w:r>
        <w:t xml:space="preserve">Livre escolha do profissional: aceitar "qualquer dentista credenciado" pode conflitar com o direito de escolha (Código de Ética Odontológica). A redação da 10.1 é suficiente?</w:t>
      </w:r>
    </w:p>
    <w:p>
      <w:pPr>
        <w:pStyle w:val="ListParagraph"/>
        <w:numPr>
          <w:ilvl w:val="0"/>
          <w:numId w:val="2"/>
        </w:numPr>
      </w:pPr>
      <w:r>
        <w:t xml:space="preserve">CRO em outros estados: neste modelo o Instituto Ravel (inscrito no CRO-PR) vende o tratamento executado por dentistas de outros estados. Precisa de inscrição da empresa no CRO de cada estado?</w:t>
      </w:r>
    </w:p>
    <w:p>
      <w:pPr>
        <w:pStyle w:val="ListParagraph"/>
        <w:numPr>
          <w:ilvl w:val="0"/>
          <w:numId w:val="2"/>
        </w:numPr>
      </w:pPr>
      <w:r>
        <w:t xml:space="preserve">Responsabilidade civil: o Instituto responde perante o paciente pelos atos dos credenciados (CDC, arts. 14 e 34). Exigir seguro de responsabilidade civil dos credenciados?</w:t>
      </w:r>
    </w:p>
    <w:p>
      <w:pPr>
        <w:pStyle w:val="Heading2"/>
      </w:pPr>
      <w:r>
        <w:t xml:space="preserve">Legenda</w:t>
      </w:r>
    </w:p>
    <w:p>
      <w:pPr>
        <w:pStyle w:val="ListParagraph"/>
        <w:numPr>
          <w:ilvl w:val="0"/>
          <w:numId w:val="2"/>
        </w:numPr>
      </w:pPr>
      <w:r>
        <w:rPr>
          <w:highlight w:val="yellow"/>
        </w:rPr>
        <w:t xml:space="preserve">Trechos em amarelo</w:t>
      </w:r>
      <w:r>
        <w:t xml:space="preserve">: dados preenchidos caso a caso pelo sistema ou valores sugeridos a validar.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Trechos em negrito</w:t>
      </w:r>
      <w:r>
        <w:t xml:space="preserve">: cláusulas restritivas destacadas (art. 54, § 4º, do CDC).</w:t>
      </w:r>
    </w:p>
    <w:p>
      <w:r>
        <w:br w:type="page"/>
      </w:r>
    </w:p>
    <w:p>
      <w:pPr>
        <w:pStyle w:val="Heading1"/>
        <w:jc w:val="center"/>
      </w:pPr>
      <w:r>
        <w:t xml:space="preserve">Contrato de prestação de serviços odontológicos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Tratamento ortodôntico com alinhadores transparentes — AlignSystem · Caso nº </w:t>
      </w:r>
      <w:r>
        <w:rPr>
          <w:i/>
          <w:iCs/>
          <w:color w:val="555555"/>
          <w:highlight w:val="yellow"/>
        </w:rPr>
        <w:t xml:space="preserve">[nº]</w:t>
      </w:r>
    </w:p>
    <w:p>
      <w:pPr>
        <w:jc w:val="both"/>
      </w:pPr>
      <w:r>
        <w:rPr>
          <w:b/>
          <w:bCs/>
        </w:rPr>
        <w:t xml:space="preserve">CONTRATANTE:</w:t>
      </w:r>
      <w:r>
        <w:t xml:space="preserve"> </w:t>
      </w:r>
      <w:r>
        <w:rPr>
          <w:highlight w:val="yellow"/>
        </w:rPr>
        <w:t xml:space="preserve">[nome do paciente]</w:t>
      </w:r>
      <w:r>
        <w:t xml:space="preserve">, portador(a) do CPF nº </w:t>
      </w:r>
      <w:r>
        <w:rPr>
          <w:highlight w:val="yellow"/>
        </w:rPr>
        <w:t xml:space="preserve">[CPF]</w:t>
      </w:r>
      <w:r>
        <w:t xml:space="preserve">, residente em </w:t>
      </w:r>
      <w:r>
        <w:rPr>
          <w:highlight w:val="yellow"/>
        </w:rPr>
        <w:t xml:space="preserve">[endereço]</w:t>
      </w:r>
      <w:r>
        <w:t xml:space="preserve"> ("Paciente").</w:t>
      </w:r>
    </w:p>
    <w:p>
      <w:pPr>
        <w:jc w:val="both"/>
      </w:pPr>
      <w:r>
        <w:rPr>
          <w:b/>
          <w:bCs/>
        </w:rPr>
        <w:t xml:space="preserve">CONTRATADA:</w:t>
      </w:r>
      <w:r>
        <w:t xml:space="preserve"> Instituto Ravel de Ensino Superior Ltda, CNPJ nº 03.162.275/0001-10, com sede em Av. XV de Novembro, 255, sobreloja, Maringá/PR, CEP 87013-230, ("Contratada").</w:t>
      </w:r>
    </w:p>
    <w:p>
      <w:pPr>
        <w:jc w:val="both"/>
      </w:pPr>
      <w:r>
        <w:t xml:space="preserve">As partes acima identificadas têm, entre si, justo e acordado o presente contrato, que se rege pelas cláusulas seguintes.</w:t>
      </w:r>
    </w:p>
    <w:p>
      <w:pPr>
        <w:pStyle w:val="Heading2"/>
      </w:pPr>
      <w:r>
        <w:t xml:space="preserve">1. Objeto</w:t>
      </w:r>
    </w:p>
    <w:p>
      <w:pPr>
        <w:jc w:val="both"/>
      </w:pPr>
      <w:r>
        <w:t xml:space="preserve">O presente contrato tem por objeto a prestação, pela Contratada, de serviço odontológico de tratamento ortodôntico por meio de alinhadores transparentes da marca </w:t>
      </w:r>
      <w:r>
        <w:rPr>
          <w:highlight w:val="yellow"/>
        </w:rPr>
        <w:t xml:space="preserve">[marca do alinhador]</w:t>
      </w:r>
      <w:r>
        <w:t xml:space="preserve">, conforme plano de tratamento elaborado após avaliação e documentação digital do(a) Paciente, que passa a integrar este contrato como Anexo I.</w:t>
      </w:r>
    </w:p>
    <w:p>
      <w:pPr>
        <w:pStyle w:val="Heading2"/>
      </w:pPr>
      <w:r>
        <w:t xml:space="preserve">2. Documentação e planejamento</w:t>
      </w:r>
    </w:p>
    <w:p>
      <w:pPr>
        <w:jc w:val="both"/>
      </w:pPr>
      <w:r>
        <w:t xml:space="preserve">A Contratada realizará escaneamento intraoral, fotografias clínicas e radiografia panorâmica do(a) Paciente, com base nas quais será elaborado o plano de tratamento individualizado, apresentado e aprovado pelo(a) Paciente antes do início da confecção dos alinhadores. A pré-avaliação por fotos realizada pela internet tem caráter apenas orientativo e não substitui o exame clínico presencial.</w:t>
      </w:r>
    </w:p>
    <w:p>
      <w:pPr>
        <w:pStyle w:val="Heading2"/>
      </w:pPr>
      <w:r>
        <w:t xml:space="preserve">3. Prazo do tratamento</w:t>
      </w:r>
    </w:p>
    <w:p>
      <w:pPr>
        <w:jc w:val="both"/>
      </w:pPr>
      <w:r>
        <w:t xml:space="preserve">3.1. O tratamento tem duração estimada de </w:t>
      </w:r>
      <w:r>
        <w:rPr>
          <w:highlight w:val="yellow"/>
        </w:rPr>
        <w:t xml:space="preserve">[nº de]</w:t>
      </w:r>
      <w:r>
        <w:t xml:space="preserve"> meses, respeitado o limite máximo de 36 (trinta e seis) meses previsto neste contrato, podendo variar conforme a resposta biológica individual do(a) Paciente.</w:t>
      </w:r>
    </w:p>
    <w:p>
      <w:pPr>
        <w:jc w:val="both"/>
      </w:pPr>
      <w:r>
        <w:t xml:space="preserve">3.2. Havendo necessidade clínica de prorrogação além do prazo inicialmente estimado, dentro do limite de 36 (trinta e seis) meses, não haverá cobrança adicional de planejamento, observado o disposto nas Cláusulas 3.3 e 3.4.</w:t>
      </w:r>
    </w:p>
    <w:p>
      <w:pPr>
        <w:jc w:val="both"/>
      </w:pPr>
      <w:r>
        <w:rPr>
          <w:b/>
          <w:bCs/>
        </w:rPr>
        <w:t xml:space="preserve">3.3. Consultas presenciais incluídas.</w:t>
      </w:r>
      <w:r>
        <w:t xml:space="preserve"> O valor do contrato inclui até 8 (oito) consultas presenciais nos casos simples, até 10 (dez) nos casos de média complexidade e até 15 (quinze) nos casos complexos, cuja remuneração ao dentista que realizar o atendimento é de responsabilidade da Contratada. Conforme o planejamento, o caso do(a) Paciente é classificado como </w:t>
      </w:r>
      <w:r>
        <w:rPr>
          <w:highlight w:val="yellow"/>
        </w:rPr>
        <w:t xml:space="preserve">[complexidade do caso e nº de consultas incluídas]</w:t>
      </w:r>
      <w:r>
        <w:t xml:space="preserve">.</w:t>
      </w:r>
    </w:p>
    <w:p>
      <w:pPr>
        <w:jc w:val="both"/>
      </w:pPr>
      <w:r>
        <w:rPr>
          <w:b/>
          <w:bCs/>
        </w:rPr>
        <w:t xml:space="preserve">3.4. Consultas e alinhadores adicionais.</w:t>
      </w:r>
      <w:r>
        <w:t xml:space="preserve"> Atingido o limite de consultas da Cláusula 3.3 sem a conclusão do tratamento, as novas consultas presenciais e os alinhadores adicionais que forem necessários serão contratados por meio de termo aditivo a este contrato e pagos pelo(a) Paciente, com valores informados previamente, por escrito, antes de sua realização ou confecção.</w:t>
      </w:r>
    </w:p>
    <w:p>
      <w:pPr>
        <w:pStyle w:val="Heading2"/>
      </w:pPr>
      <w:r>
        <w:t xml:space="preserve">4. Valor, composição e condições de pagamento</w:t>
      </w:r>
    </w:p>
    <w:p>
      <w:pPr>
        <w:jc w:val="both"/>
      </w:pPr>
      <w:r>
        <w:t xml:space="preserve">4.1. O valor do tratamento, referente ao protocolo descrito no Anexo I, é de </w:t>
      </w:r>
      <w:r>
        <w:rPr>
          <w:highlight w:val="yellow"/>
        </w:rPr>
        <w:t xml:space="preserve">[valor do tratamento]</w:t>
      </w:r>
      <w:r>
        <w:t xml:space="preserve"> ("Contrato Fechado"), cobrindo a documentação inicial, os alinhadores previstos no planejamento aprovado e o acompanhamento clínico durante o tratamento, limitado às consultas presenciais incluídas na Cláusula 3.3, ressalvadas as hipóteses das Cláusulas 3.4 e 5.</w:t>
      </w:r>
    </w:p>
    <w:p>
      <w:pPr>
        <w:jc w:val="both"/>
      </w:pPr>
      <w:r>
        <w:rPr>
          <w:b/>
          <w:bCs/>
        </w:rPr>
        <w:t xml:space="preserve">4.2. Composição do valor.</w:t>
      </w:r>
      <w:r>
        <w:t xml:space="preserve"> O valor total é composto por: (a) </w:t>
      </w:r>
      <w:r>
        <w:rPr>
          <w:b/>
          <w:bCs/>
        </w:rPr>
        <w:t xml:space="preserve">50% (cinquenta por cento) referentes ao fornecimento dos alinhadores</w:t>
      </w:r>
      <w:r>
        <w:t xml:space="preserve"> confeccionados sob medida para o(a) Paciente; e (b) 50% (cinquenta por cento) referentes ao planejamento, às despesas operacionais e aos atendimentos, incluídas as consultas presenciais realizadas por dentistas credenciados da rede, remunerados diretamente pela Contratada.</w:t>
      </w:r>
    </w:p>
    <w:p>
      <w:pPr>
        <w:jc w:val="both"/>
      </w:pPr>
      <w:r>
        <w:t xml:space="preserve">4.3. Formas de pagamento, à escolha do(a) Paciente no link de pagamento: (a) </w:t>
      </w:r>
      <w:r>
        <w:rPr>
          <w:b/>
          <w:bCs/>
        </w:rPr>
        <w:t xml:space="preserve">Pix à vista, com desconto de 12% (doze por cento)</w:t>
      </w:r>
      <w:r>
        <w:t xml:space="preserve"> sobre o valor total; (b) </w:t>
      </w:r>
      <w:r>
        <w:rPr>
          <w:b/>
          <w:bCs/>
        </w:rPr>
        <w:t xml:space="preserve">cartão de crédito em até 18 parcelas sem juros</w:t>
      </w:r>
      <w:r>
        <w:t xml:space="preserve">, com o valor total lançado no limite do cartão; ou (c) </w:t>
      </w:r>
      <w:r>
        <w:rPr>
          <w:b/>
          <w:bCs/>
        </w:rPr>
        <w:t xml:space="preserve">boleto bancário</w:t>
      </w:r>
      <w:r>
        <w:t xml:space="preserve">, com entrada de 50% do valor total paga por Pix ou cartão de crédito, e o saldo em até 18 boletos mensais, sujeito a análise de crédito.</w:t>
      </w:r>
    </w:p>
    <w:p>
      <w:pPr>
        <w:jc w:val="both"/>
      </w:pPr>
      <w:r>
        <w:t xml:space="preserve">4.4. O pedido de fabricação dos alinhadores somente é feito após (i) a confirmação do pagamento integral, no Pix ou no cartão, ou da entrada, no boleto; e (ii) o término do prazo de arrependimento previsto na Cláusula 9.1.</w:t>
      </w:r>
    </w:p>
    <w:p>
      <w:pPr>
        <w:jc w:val="both"/>
      </w:pPr>
      <w:r>
        <w:t xml:space="preserve">4.5. O link de pagamento é emitido pela plataforma de pagamentos utilizada pela Contratada e enviado ao(à) Paciente por e-mail e/ou WhatsApp. Na modalidade boleto, os boletos do saldo são emitidos após a confirmação da entrada.</w:t>
      </w:r>
    </w:p>
    <w:p>
      <w:pPr>
        <w:pStyle w:val="Heading2"/>
      </w:pPr>
      <w:r>
        <w:t xml:space="preserve">5. Alinhadores extraviados ou danificados</w:t>
      </w:r>
    </w:p>
    <w:p>
      <w:pPr>
        <w:jc w:val="both"/>
      </w:pPr>
      <w:r>
        <w:t xml:space="preserve">5.1. Os alinhadores fornecidos são de uso individual e de responsabilidade do(a) Paciente quanto à sua guarda e conservação.</w:t>
      </w:r>
    </w:p>
    <w:p>
      <w:pPr>
        <w:jc w:val="both"/>
      </w:pPr>
      <w:r>
        <w:rPr>
          <w:b/>
          <w:bCs/>
        </w:rPr>
        <w:t xml:space="preserve">5.2. Em caso de perda, quebra ou dano ao alinhador por mau uso, será cobrado o valor adicional de reposição de </w:t>
      </w:r>
      <w:r>
        <w:rPr>
          <w:b/>
          <w:bCs/>
          <w:highlight w:val="yellow"/>
        </w:rPr>
        <w:t xml:space="preserve">[valor de reposição]</w:t>
      </w:r>
      <w:r>
        <w:rPr>
          <w:b/>
          <w:bCs/>
        </w:rPr>
        <w:t xml:space="preserve"> por unidade, não incluído no valor do Contrato Fechado descrito na Cláusula 4.</w:t>
      </w:r>
    </w:p>
    <w:p>
      <w:pPr>
        <w:jc w:val="both"/>
      </w:pPr>
      <w:r>
        <w:t xml:space="preserve">5.3. Substituições decorrentes de defeito de fabricação não geram cobrança adicional ao(à) Paciente.</w:t>
      </w:r>
    </w:p>
    <w:p>
      <w:pPr>
        <w:pStyle w:val="Heading2"/>
      </w:pPr>
      <w:r>
        <w:t xml:space="preserve">6. Obrigações do(a) Paciente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comparecer às consultas agendadas e seguir as orientações de uso dos alinhadores;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usar os alinhadores pelo tempo diário recomendado pelo profissional responsável;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comunicar imediatamente qualquer perda, quebra ou desconforto significativo;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efetuar os pagamentos na forma escolhida, conforme a Cláusula 4.</w:t>
      </w:r>
    </w:p>
    <w:p>
      <w:pPr>
        <w:pStyle w:val="Heading2"/>
      </w:pPr>
      <w:r>
        <w:t xml:space="preserve">7. Obrigações da Contratada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prestar o serviço com a técnica e o cuidado exigidos pela boa prática odontológica;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fornecer os alinhadores conforme o plano de tratamento aprovado;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informar o(a) Paciente sobre a evolução do tratamento e eventuais ajustes necessários;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manter sigilo sobre os dados e prontuário do(a) Paciente, nos termos da LGPD.</w:t>
      </w:r>
    </w:p>
    <w:p>
      <w:pPr>
        <w:pStyle w:val="Heading2"/>
      </w:pPr>
      <w:r>
        <w:t xml:space="preserve">8. Atraso e contestação</w:t>
      </w:r>
    </w:p>
    <w:p>
      <w:pPr>
        <w:jc w:val="both"/>
      </w:pPr>
      <w:r>
        <w:rPr>
          <w:b/>
          <w:bCs/>
        </w:rPr>
        <w:t xml:space="preserve">Na modalidade boleto, o atraso no pagamento de qualquer parcela sujeitará o(a) Paciente à multa de 2% (dois por cento) sobre o valor em atraso, acrescida de juros de mora de 1% (um por cento) ao mês, calculados pro rata die, e de correção monetária, podendo o débito ser levado a protesto ou aos cadastros de proteção ao crédito após comunicação prévia. A contestação indevida da compra junto à operadora do cartão (chargeback) torna o valor contestado devido nas mesmas condições.</w:t>
      </w:r>
    </w:p>
    <w:p>
      <w:pPr>
        <w:pStyle w:val="Heading2"/>
      </w:pPr>
      <w:r>
        <w:t xml:space="preserve">9. Rescisão e desistência</w:t>
      </w:r>
    </w:p>
    <w:p>
      <w:pPr>
        <w:jc w:val="both"/>
      </w:pPr>
      <w:r>
        <w:t xml:space="preserve">9.1. Caso a contratação tenha ocorrido fora do estabelecimento comercial (ex.: internet, telefone, domicílio), o(a) Paciente poderá exercer o direito de arrependimento em até 7 (sete) dias corridos a contar da assinatura, nos termos do art. 49 do Código de Defesa do Consumidor, com devolução integral dos valores eventualmente pagos.</w:t>
      </w:r>
    </w:p>
    <w:p>
      <w:pPr>
        <w:jc w:val="both"/>
      </w:pPr>
      <w:r>
        <w:rPr>
          <w:b/>
          <w:bCs/>
        </w:rPr>
        <w:t xml:space="preserve">9.2. Após esse prazo e depois do pedido de fabricação dos alinhadores, a desistência pelo(a) Paciente implicará o pagamento integral da parcela referente aos alinhadores (50% do valor total), por se tratar de produto confeccionado sob medida e sem possibilidade de reaproveitamento, acrescido de multa compensatória de 20% (vinte por cento) sobre o valor restante (50% do valor total), deduzidos os valores já pagos. Havendo saldo a favor do(a) Paciente, será restituído em até 30 (trinta) dias; havendo saldo devedor, deverá ser pago em até 30 (trinta) dias.</w:t>
      </w:r>
    </w:p>
    <w:p>
      <w:pPr>
        <w:jc w:val="both"/>
      </w:pPr>
      <w:r>
        <w:t xml:space="preserve">9.3. Se a desistência ocorrer após o prazo de arrependimento, mas antes do pedido de fabricação dos alinhadores, o(a) Paciente pagará apenas a multa compensatória de 20% sobre o valor restante (50% do valor total), que cobre a documentação e o planejamento já realizados, sendo restituído o saldo em até 30 (trinta) dias.</w:t>
      </w:r>
    </w:p>
    <w:p>
      <w:pPr>
        <w:jc w:val="both"/>
      </w:pPr>
      <w:r>
        <w:t xml:space="preserve">9.4. A Contratada poderá rescindir o contrato em caso de descumprimento reiterado das orientações clínicas pelo(a) Paciente que inviabilize a continuidade segura do tratamento, mediante comunicação prévia por escrito.</w:t>
      </w:r>
    </w:p>
    <w:p>
      <w:pPr>
        <w:pStyle w:val="Heading2"/>
      </w:pPr>
      <w:r>
        <w:t xml:space="preserve">10. Atendimento presencial e deslocamento</w:t>
      </w:r>
    </w:p>
    <w:p>
      <w:pPr>
        <w:jc w:val="both"/>
      </w:pPr>
      <w:r>
        <w:t xml:space="preserve">10.1. As consultas presenciais (exame clínico, instalação, ajustes e acompanhamento) são realizadas por cirurgião-dentista credenciado da rede AlignSystem, indicado pela Contratada. </w:t>
      </w:r>
      <w:r>
        <w:rPr>
          <w:b/>
          <w:bCs/>
        </w:rPr>
        <w:t xml:space="preserve">O(A) Paciente concorda em ser atendido(a) por qualquer dentista credenciado da rede localizado num raio de até 300 (trezentos) quilômetros do município de residência informado (</w:t>
      </w:r>
      <w:r>
        <w:rPr>
          <w:b/>
          <w:bCs/>
          <w:highlight w:val="yellow"/>
        </w:rPr>
        <w:t xml:space="preserve">[cidade do paciente/UF]</w:t>
      </w:r>
      <w:r>
        <w:rPr>
          <w:b/>
          <w:bCs/>
        </w:rPr>
        <w:t xml:space="preserve">), sendo as despesas de locomoção, deslocamento, hospedagem e alimentação de sua exclusiva responsabilidade.</w:t>
      </w:r>
    </w:p>
    <w:p>
      <w:pPr>
        <w:jc w:val="both"/>
      </w:pPr>
      <w:r>
        <w:t xml:space="preserve">10.2. Os dentistas credenciados são remunerados pelas consultas presenciais diretamente pela Contratada, sem custo adicional ao(à) Paciente além do valor previsto na Cláusula 4.</w:t>
      </w:r>
    </w:p>
    <w:p>
      <w:pPr>
        <w:jc w:val="both"/>
      </w:pPr>
      <w:r>
        <w:t xml:space="preserve">10.3. Caso não haja dentista credenciado no raio de 300 km, o valor de até 4 (quatro) deslocamentos de ida e volta em ônibus convencional até o dentista credenciado mais próximo será acrescido ao valor do contrato, conforme informado ao(à) Paciente antes da contratação.</w:t>
      </w:r>
    </w:p>
    <w:p>
      <w:pPr>
        <w:jc w:val="both"/>
      </w:pPr>
      <w:r>
        <w:rPr>
          <w:highlight w:val="yellow"/>
        </w:rPr>
        <w:t xml:space="preserve">[Redação alternativa da 10.3, usada automaticamente quando o dentista credenciado mais próximo está a mais de 300 km:]</w:t>
      </w:r>
    </w:p>
    <w:p>
      <w:pPr>
        <w:jc w:val="both"/>
      </w:pPr>
      <w:r>
        <w:rPr>
          <w:b/>
          <w:bCs/>
        </w:rPr>
        <w:t xml:space="preserve">10.3. Como o dentista credenciado mais próximo do(a) Paciente está a mais de 300 km (aproximadamente </w:t>
      </w:r>
      <w:r>
        <w:rPr>
          <w:b/>
          <w:bCs/>
          <w:highlight w:val="yellow"/>
        </w:rPr>
        <w:t xml:space="preserve">[•]</w:t>
      </w:r>
      <w:r>
        <w:rPr>
          <w:b/>
          <w:bCs/>
        </w:rPr>
        <w:t xml:space="preserve"> km, em </w:t>
      </w:r>
      <w:r>
        <w:rPr>
          <w:b/>
          <w:bCs/>
          <w:highlight w:val="yellow"/>
        </w:rPr>
        <w:t xml:space="preserve">[cidade do dentista/UF]</w:t>
      </w:r>
      <w:r>
        <w:rPr>
          <w:b/>
          <w:bCs/>
        </w:rPr>
        <w:t xml:space="preserve">), o valor do contrato inclui </w:t>
      </w:r>
      <w:r>
        <w:rPr>
          <w:b/>
          <w:bCs/>
          <w:highlight w:val="yellow"/>
        </w:rPr>
        <w:t xml:space="preserve">R$ [valor]</w:t>
      </w:r>
      <w:r>
        <w:rPr>
          <w:b/>
          <w:bCs/>
        </w:rPr>
        <w:t xml:space="preserve"> referentes a 4 (quatro) deslocamentos de ida e volta em ônibus convencional, estimados pela Contratada. Deslocamentos além desses correm por conta do(a) Paciente. Em caso de desistência, os deslocamentos ainda não realizados são restituídos.</w:t>
      </w:r>
    </w:p>
    <w:p>
      <w:pPr>
        <w:jc w:val="both"/>
      </w:pPr>
      <w:r>
        <w:t xml:space="preserve">10.4. A opção de atendimento foi escolhida pelo(a) Paciente no questionário da plataforma: “Aceito ser atendido(a) por qualquer dentista credenciado em até 300 km, com deslocamento por minha conta”.</w:t>
      </w:r>
    </w:p>
    <w:p>
      <w:pPr>
        <w:pStyle w:val="Heading2"/>
      </w:pPr>
      <w:r>
        <w:t xml:space="preserve">11. Uso de imagem</w:t>
      </w:r>
    </w:p>
    <w:p>
      <w:pPr>
        <w:jc w:val="both"/>
      </w:pPr>
      <w:r>
        <w:t xml:space="preserve">O uso de fotografias do(a) Paciente para fins de divulgação da Contratada é facultativo e depende de consentimento específico e destacado, a ser formalizado em termo apartado, podendo ser revogado a qualquer tempo pelo(a) Paciente. As fotos enviadas pela plataforma são usadas exclusivamente para avaliação e acompanhamento clínico.</w:t>
      </w:r>
    </w:p>
    <w:p>
      <w:pPr>
        <w:pStyle w:val="Heading2"/>
      </w:pPr>
      <w:r>
        <w:t xml:space="preserve">12. Proteção de dados (LGPD)</w:t>
      </w:r>
    </w:p>
    <w:p>
      <w:pPr>
        <w:jc w:val="both"/>
      </w:pPr>
      <w:r>
        <w:t xml:space="preserve">Os dados pessoais e de saúde do(a) Paciente serão tratados exclusivamente para as finalidades relacionadas à execução deste contrato, com as salvaguardas exigidas pela Lei nº 13.709/2018, podendo o(a) Paciente exercer os direitos previstos na referida lei mediante solicitação pelo e-mail contato@alignsystem.com.br.</w:t>
      </w:r>
    </w:p>
    <w:p>
      <w:pPr>
        <w:pStyle w:val="Heading2"/>
      </w:pPr>
      <w:r>
        <w:t xml:space="preserve">13. Assinatura eletrônica</w:t>
      </w:r>
    </w:p>
    <w:p>
      <w:pPr>
        <w:jc w:val="both"/>
      </w:pPr>
      <w:r>
        <w:t xml:space="preserve">As partes reconhecem a validade da contratação e da assinatura por meio eletrônico, com aceite registrado na plataforma AlignSystem (identificação do signatário, data, hora, endereço IP e código de integridade do documento), nos termos do art. 10, § 2º, da Medida Provisória nº 2.200-2/2001 e do art. 107 do Código Civil.</w:t>
      </w:r>
    </w:p>
    <w:p>
      <w:pPr>
        <w:pStyle w:val="Heading2"/>
      </w:pPr>
      <w:r>
        <w:t xml:space="preserve">14. Foro</w:t>
      </w:r>
    </w:p>
    <w:p>
      <w:pPr>
        <w:jc w:val="both"/>
      </w:pPr>
      <w:r>
        <w:t xml:space="preserve">Fica eleito o foro do domicílio do(a) Paciente para dirimir quaisquer questões oriundas deste contrato, em conformidade com o Código de Defesa do Consumidor.</w:t>
      </w:r>
    </w:p>
    <w:p>
      <w:pPr>
        <w:pStyle w:val="Heading2"/>
      </w:pPr>
      <w:r>
        <w:t xml:space="preserve">Anexo I — Plano de tratamento</w:t>
      </w:r>
    </w:p>
    <w:p>
      <w:pPr>
        <w:jc w:val="both"/>
      </w:pPr>
      <w:r>
        <w:rPr>
          <w:highlight w:val="yellow"/>
        </w:rPr>
        <w:t xml:space="preserve">[Resumo do plano de tratamento aprovado: número estimado de alinhadores, etapas, complexidade e consultas — preenchido caso a caso.]</w:t>
      </w:r>
    </w:p>
    <w:p>
      <w:pPr>
        <w:jc w:val="both"/>
      </w:pPr>
      <w:r>
        <w:rPr>
          <w:highlight w:val="yellow"/>
        </w:rPr>
        <w:t xml:space="preserve">[Cidade]</w:t>
      </w:r>
      <w:r>
        <w:t xml:space="preserve">, </w:t>
      </w:r>
      <w:r>
        <w:rPr>
          <w:highlight w:val="yellow"/>
        </w:rPr>
        <w:t xml:space="preserve">[data]</w:t>
      </w:r>
      <w:r>
        <w:t xml:space="preserve">.</w:t>
      </w:r>
    </w:p>
    <w:p>
      <w:pPr>
        <w:pStyle w:val="Heading2"/>
      </w:pPr>
      <w:r>
        <w:t xml:space="preserve">Assinaturas</w:t>
      </w:r>
    </w:p>
    <w:p>
      <w:pPr>
        <w:jc w:val="both"/>
      </w:pPr>
      <w:r>
        <w:t xml:space="preserve">Contratação por aceite eletrônico na plataforma AlignSystem. O sistema registra, ao final do documento: nome completo digitado, CPF/CNPJ, data e hora, endereço IP, navegador e código de integridade SHA-256 do texto aceito. Para assinatura física, utilizar as linhas abaixo.</w:t>
      </w:r>
    </w:p>
    <w:p>
      <w:pPr>
        <w:spacing w:before="480"/>
      </w:pPr>
      <w:r>
        <w:t xml:space="preserve">____________________________________________</w:t>
      </w:r>
    </w:p>
    <w:p>
      <w:r>
        <w:rPr>
          <w:highlight w:val="yellow"/>
        </w:rPr>
        <w:t xml:space="preserve">[Nome do(a) Paciente]</w:t>
      </w:r>
      <w:r>
        <w:t xml:space="preserve"> — CPF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Instituto Ravel de Ensino Superior Ltda (AlignSystem) — </w:t>
      </w:r>
      <w:r>
        <w:rPr>
          <w:highlight w:val="yellow"/>
        </w:rPr>
        <w:t xml:space="preserve">[representante legal]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1 — CPF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2 — CPF nº </w:t>
      </w:r>
      <w:r>
        <w:rPr>
          <w:highlight w:val="yellow"/>
        </w:rPr>
        <w:t xml:space="preserve">[•]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Contrato do Paciente — Modelo Rede — minuta para revisão —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2233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57A6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do Paciente — Modelo Rede</dc:title>
  <dc:creator>AlignSystem</dc:creator>
  <cp:lastModifiedBy>Un-named</cp:lastModifiedBy>
  <cp:revision>1</cp:revision>
  <dcterms:created xsi:type="dcterms:W3CDTF">2026-10-02T10:09:06.837Z</dcterms:created>
  <dcterms:modified xsi:type="dcterms:W3CDTF">2026-10-02T10:09:06.837Z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