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F766E"/>
          <w:sz w:val="56"/>
          <w:szCs w:val="56"/>
        </w:rPr>
        <w:t xml:space="preserve">SpaceHour</w:t>
      </w:r>
    </w:p>
    <w:p>
      <w:pPr>
        <w:spacing w:after="200"/>
        <w:jc w:val="center"/>
      </w:pPr>
      <w:r>
        <w:rPr>
          <w:b/>
          <w:bCs/>
          <w:sz w:val="36"/>
          <w:szCs w:val="36"/>
        </w:rPr>
        <w:t xml:space="preserve">Termos de Uso e Políticas da Plataforma</w:t>
      </w:r>
    </w:p>
    <w:p>
      <w:pPr>
        <w:spacing w:after="1200"/>
        <w:jc w:val="center"/>
      </w:pPr>
      <w:r>
        <w:rPr>
          <w:color w:val="555555"/>
          <w:sz w:val="26"/>
          <w:szCs w:val="26"/>
        </w:rPr>
        <w:t xml:space="preserve">Minuta para revisão jurídica — Brasil</w:t>
      </w:r>
    </w:p>
    <w:p>
      <w:pPr>
        <w:jc w:val="center"/>
      </w:pPr>
      <w:r>
        <w:rPr>
          <w:sz w:val="22"/>
          <w:szCs w:val="22"/>
        </w:rPr>
        <w:t xml:space="preserve">Instituto Ravel de Ensino Superior Ltda. · CNPJ 03.162.275/0001-10</w:t>
      </w:r>
    </w:p>
    <w:p>
      <w:pPr>
        <w:jc w:val="center"/>
      </w:pPr>
      <w:r>
        <w:rPr>
          <w:sz w:val="22"/>
          <w:szCs w:val="22"/>
        </w:rPr>
        <w:t xml:space="preserve">Maringá/PR · 28/09/2026</w:t>
      </w:r>
    </w:p>
    <w:p>
      <w:r>
        <w:br w:type="page"/>
      </w:r>
    </w:p>
    <w:p>
      <w:pPr>
        <w:pStyle w:val="Heading1"/>
      </w:pPr>
      <w:r>
        <w:t xml:space="preserve">Sumário</w:t>
      </w:r>
    </w:p>
    <w:sdt>
      <w:sdtPr>
        <w:alias w:val="Sumário"/>
      </w:sdtPr>
      <w:sdtContent>
        <w:p>
          <w:r>
            <w:fldChar w:fldCharType="begin" w:dirty="true"/>
            <w:instrText xml:space="preserve">TOC \h \o "1-1"</w:instrText>
            <w:fldChar w:fldCharType="separate"/>
          </w:r>
        </w:p>
        <w:p>
          <w:r>
            <w:fldChar w:fldCharType="end"/>
          </w:r>
        </w:p>
      </w:sdtContent>
    </w:sdt>
    <w:p>
      <w:r>
        <w:br w:type="page"/>
      </w:r>
    </w:p>
    <w:p>
      <w:pPr>
        <w:spacing w:after="120"/>
        <w:jc w:val="both"/>
      </w:pPr>
      <w:r>
        <w:rPr>
          <w:b/>
          <w:bCs/>
        </w:rPr>
        <w:t xml:space="preserve">Operadora:</w:t>
      </w:r>
      <w:r>
        <w:t xml:space="preserve"> Instituto Ravel de Ensino Superior Ltda. — CNPJ 03.162.275/0001-10 — Av. XV de Novembro, 255, Sobreloja, Maringá/PR, CEP 87013-230</w:t>
      </w:r>
    </w:p>
    <w:p>
      <w:pPr>
        <w:spacing w:after="120"/>
        <w:jc w:val="both"/>
      </w:pPr>
      <w:r>
        <w:rPr>
          <w:b/>
          <w:bCs/>
        </w:rPr>
        <w:t xml:space="preserve">Plataforma:</w:t>
      </w:r>
      <w:r>
        <w:t xml:space="preserve"> SpaceHour (</w:t>
      </w:r>
      <w:hyperlink w:history="1" r:id="rIduhsqsedowbypukfwhvk51">
        <w:r>
          <w:rPr>
            <w:rStyle w:val="Hyperlink"/>
          </w:rPr>
          <w:t xml:space="preserve">https://space-hour.com</w:t>
        </w:r>
      </w:hyperlink>
      <w:r>
        <w:t xml:space="preserve">) — locação por hora de espaços profissionais prontos (consultórios, salas clínicas, salas de aula, escritórios)</w:t>
      </w:r>
    </w:p>
    <w:p>
      <w:pPr>
        <w:spacing w:after="120"/>
        <w:jc w:val="both"/>
      </w:pPr>
      <w:r>
        <w:rPr>
          <w:b/>
          <w:bCs/>
        </w:rPr>
        <w:t xml:space="preserve">Encarregada(o) de dados (LGPD):</w:t>
      </w:r>
      <w:r>
        <w:t xml:space="preserve"> Robson Ravel de Oliveira — info@wmundi.com</w:t>
      </w:r>
    </w:p>
    <w:p>
      <w:pPr>
        <w:spacing w:after="120"/>
        <w:jc w:val="both"/>
      </w:pPr>
      <w:r>
        <w:rPr>
          <w:b/>
          <w:bCs/>
        </w:rPr>
        <w:t xml:space="preserve">Para:</w:t>
      </w:r>
      <w:r>
        <w:t xml:space="preserve"> Dra. Roberta · </w:t>
      </w:r>
      <w:r>
        <w:rPr>
          <w:b/>
          <w:bCs/>
        </w:rPr>
        <w:t xml:space="preserve">Data:</w:t>
      </w:r>
      <w:r>
        <w:t xml:space="preserve"> 28/09/2026</w:t>
      </w:r>
    </w:p>
    <w:p>
      <w:pPr>
        <w:pStyle w:val="Heading1"/>
      </w:pPr>
      <w:r>
        <w:t xml:space="preserve">Carta de encaminhamento</w:t>
      </w:r>
    </w:p>
    <w:p>
      <w:pPr>
        <w:spacing w:after="120"/>
        <w:jc w:val="both"/>
      </w:pPr>
      <w:r>
        <w:t xml:space="preserve">Dra. Roberta, segue a minuta completa dos documentos jurídicos da plataforma SpaceHour, que já está no ar em fase de testes, com lançamento </w:t>
      </w:r>
      <w:r>
        <w:rPr>
          <w:b/>
          <w:bCs/>
        </w:rPr>
        <w:t xml:space="preserve">apenas no Brasil</w:t>
      </w:r>
      <w:r>
        <w:t xml:space="preserve">. Os textos foram redigidos com apoio de ferramenta de inteligência artificial e </w:t>
      </w:r>
      <w:r>
        <w:rPr>
          <w:b/>
          <w:bCs/>
        </w:rPr>
        <w:t xml:space="preserve">ainda não passaram por revisão de advogado</w:t>
      </w:r>
      <w:r>
        <w:t xml:space="preserve">. Peço sua análise antes da divulgação ao público.</w:t>
      </w:r>
    </w:p>
    <w:p>
      <w:pPr>
        <w:spacing w:after="120"/>
        <w:jc w:val="both"/>
      </w:pPr>
      <w:r>
        <w:t xml:space="preserve">O conjunto é formado pelos </w:t>
      </w:r>
      <w:r>
        <w:rPr>
          <w:b/>
          <w:bCs/>
        </w:rPr>
        <w:t xml:space="preserve">Termos de Uso</w:t>
      </w:r>
      <w:r>
        <w:t xml:space="preserve"> (contrato de adesão principal) e por dez políticas que o integram como anexos. Os mesmos textos aparecem no site em </w:t>
      </w:r>
      <w:hyperlink w:history="1" r:id="rIdp_ppxdarw7mtqhocztpby">
        <w:r>
          <w:rPr>
            <w:rStyle w:val="Hyperlink"/>
          </w:rPr>
          <w:t xml:space="preserve">https://space-hour.com/regras</w:t>
        </w:r>
      </w:hyperlink>
      <w:r>
        <w:t xml:space="preserve"> e são aceitos no cadastro e em cada reserva.</w:t>
      </w:r>
    </w:p>
    <w:p>
      <w:pPr>
        <w:pStyle w:val="Heading2"/>
      </w:pPr>
      <w:r>
        <w:t xml:space="preserve">Como a plataforma funciona (resumo)</w:t>
      </w:r>
    </w:p>
    <w:p>
      <w:pPr>
        <w:pStyle w:val="ListParagraph"/>
        <w:numPr>
          <w:ilvl w:val="0"/>
          <w:numId w:val="2"/>
        </w:numPr>
        <w:spacing w:after="60"/>
      </w:pPr>
      <w:r>
        <w:t xml:space="preserve">O </w:t>
      </w:r>
      <w:r>
        <w:rPr>
          <w:b/>
          <w:bCs/>
        </w:rPr>
        <w:t xml:space="preserve">Anfitrião</w:t>
      </w:r>
      <w:r>
        <w:t xml:space="preserve"> anuncia o espaço de graça e define preço, horários e regras. O </w:t>
      </w:r>
      <w:r>
        <w:rPr>
          <w:b/>
          <w:bCs/>
        </w:rPr>
        <w:t xml:space="preserve">Locatário</w:t>
      </w:r>
      <w:r>
        <w:t xml:space="preserve"> (profissional) reserva por hora, dia ou série semanal.</w:t>
      </w:r>
    </w:p>
    <w:p>
      <w:pPr>
        <w:pStyle w:val="ListParagraph"/>
        <w:numPr>
          <w:ilvl w:val="0"/>
          <w:numId w:val="2"/>
        </w:numPr>
        <w:spacing w:after="60"/>
      </w:pPr>
      <w:r>
        <w:rPr>
          <w:b/>
          <w:bCs/>
        </w:rPr>
        <w:t xml:space="preserve">Pagamento</w:t>
      </w:r>
      <w:r>
        <w:t xml:space="preserve"> por Pix ou cartão no Mercado Pago, em modelo </w:t>
      </w:r>
      <w:r>
        <w:rPr>
          <w:i/>
          <w:iCs/>
        </w:rPr>
        <w:t xml:space="preserve">marketplace</w:t>
      </w:r>
      <w:r>
        <w:t xml:space="preserve"> (split): o valor cai direto na conta Mercado Pago do Anfitrião, e a plataforma recebe só a comissão. </w:t>
      </w:r>
      <w:r>
        <w:rPr>
          <w:b/>
          <w:bCs/>
        </w:rPr>
        <w:t xml:space="preserve">A Operadora não custodia o dinheiro do Anfitrião.</w:t>
      </w:r>
    </w:p>
    <w:p>
      <w:pPr>
        <w:pStyle w:val="ListParagraph"/>
        <w:numPr>
          <w:ilvl w:val="0"/>
          <w:numId w:val="2"/>
        </w:numPr>
        <w:spacing w:after="60"/>
      </w:pPr>
      <w:r>
        <w:rPr>
          <w:b/>
          <w:bCs/>
        </w:rPr>
        <w:t xml:space="preserve">Remuneração da plataforma:</w:t>
      </w:r>
    </w:p>
    <w:p>
      <w:pPr>
        <w:pStyle w:val="ListParagraph"/>
        <w:numPr>
          <w:ilvl w:val="1"/>
          <w:numId w:val="2"/>
        </w:numPr>
        <w:spacing w:after="60"/>
      </w:pPr>
      <w:r>
        <w:t xml:space="preserve">o Locatário paga 15% de taxa de serviço sobre o valor do espaço, mais ISS de referência de 5% sobre essa taxa;</w:t>
      </w:r>
    </w:p>
    <w:p>
      <w:pPr>
        <w:pStyle w:val="ListParagraph"/>
        <w:numPr>
          <w:ilvl w:val="1"/>
          <w:numId w:val="2"/>
        </w:numPr>
        <w:spacing w:after="60"/>
      </w:pPr>
      <w:r>
        <w:t xml:space="preserve">o Anfitrião paga 5% de comissão;</w:t>
      </w:r>
    </w:p>
    <w:p>
      <w:pPr>
        <w:pStyle w:val="ListParagraph"/>
        <w:numPr>
          <w:ilvl w:val="1"/>
          <w:numId w:val="2"/>
        </w:numPr>
        <w:spacing w:after="60"/>
      </w:pPr>
      <w:r>
        <w:t xml:space="preserve">a tarifa do Mercado Pago sai da parte do Anfitrião.</w:t>
      </w:r>
    </w:p>
    <w:p>
      <w:pPr>
        <w:pStyle w:val="ListParagraph"/>
        <w:numPr>
          <w:ilvl w:val="1"/>
          <w:numId w:val="2"/>
        </w:numPr>
        <w:spacing w:after="60"/>
      </w:pPr>
      <w:r>
        <w:t xml:space="preserve">Exemplo: espaço de R$ 100 → Locatário paga R$ 115,75, o Anfitrião recebe cerca de R$ 94 no Pix e a plataforma fica com cerca de R$ 20.</w:t>
      </w:r>
    </w:p>
    <w:p>
      <w:pPr>
        <w:pStyle w:val="ListParagraph"/>
        <w:numPr>
          <w:ilvl w:val="0"/>
          <w:numId w:val="2"/>
        </w:numPr>
        <w:spacing w:after="60"/>
      </w:pPr>
      <w:r>
        <w:rPr>
          <w:b/>
          <w:bCs/>
        </w:rPr>
        <w:t xml:space="preserve">Caução</w:t>
      </w:r>
      <w:r>
        <w:t xml:space="preserve">: no Brasil é garantida por um </w:t>
      </w:r>
      <w:r>
        <w:rPr>
          <w:b/>
          <w:bCs/>
        </w:rPr>
        <w:t xml:space="preserve">avalista</w:t>
      </w:r>
      <w:r>
        <w:t xml:space="preserve"> indicado pelo Locatário, porque o Mercado Pago não permite pré-autorização pela plataforma. A caução é garantia </w:t>
      </w:r>
      <w:r>
        <w:rPr>
          <w:b/>
          <w:bCs/>
        </w:rPr>
        <w:t xml:space="preserve">parcial</w:t>
      </w:r>
      <w:r>
        <w:t xml:space="preserve">. Danos são cobrados após mediação infrutífera e comprovação da autoria.</w:t>
      </w:r>
    </w:p>
    <w:p>
      <w:pPr>
        <w:pStyle w:val="ListParagraph"/>
        <w:numPr>
          <w:ilvl w:val="0"/>
          <w:numId w:val="2"/>
        </w:numPr>
        <w:spacing w:after="60"/>
      </w:pPr>
      <w:r>
        <w:rPr>
          <w:b/>
          <w:bCs/>
        </w:rPr>
        <w:t xml:space="preserve">Registro profissional</w:t>
      </w:r>
      <w:r>
        <w:t xml:space="preserve">: pré-triagem por inteligência artificial (documento + consulta a cadastros públicos dos conselhos), com revisão humana. O Anfitrião continua responsável por conferir o registro antes de liberar espaço regulado.</w:t>
      </w:r>
    </w:p>
    <w:p>
      <w:pPr>
        <w:pStyle w:val="ListParagraph"/>
        <w:numPr>
          <w:ilvl w:val="0"/>
          <w:numId w:val="2"/>
        </w:numPr>
        <w:spacing w:after="60"/>
      </w:pPr>
      <w:r>
        <w:rPr>
          <w:b/>
          <w:bCs/>
        </w:rPr>
        <w:t xml:space="preserve">Verificação de identidade</w:t>
      </w:r>
      <w:r>
        <w:t xml:space="preserve"> (opcional): CPF/CNPJ, foto do documento e selfie. Checagem automática sem reconhecimento facial. Fotos cifradas e apagadas em 90 dias.</w:t>
      </w:r>
    </w:p>
    <w:p>
      <w:pPr>
        <w:pStyle w:val="Heading2"/>
      </w:pPr>
      <w:r>
        <w:t xml:space="preserve">Pontos que mais pedem sua atenção</w:t>
      </w:r>
    </w:p>
    <w:p>
      <w:pPr>
        <w:pStyle w:val="ListParagraph"/>
        <w:numPr>
          <w:ilvl w:val="0"/>
          <w:numId w:val="3"/>
        </w:numPr>
        <w:spacing w:after="60"/>
      </w:pPr>
      <w:r>
        <w:rPr>
          <w:b/>
          <w:bCs/>
        </w:rPr>
        <w:t xml:space="preserve">Objeto social e enquadramento da Operadora.</w:t>
      </w:r>
      <w:r>
        <w:t xml:space="preserve"> A plataforma é operada pelo Instituto Ravel de Ensino Superior Ltda. Convém verificar se o objeto social e o CNAE cobrem a intermediação de negócios e serviços de plataforma digital, ou se é necessária alteração contratual ou CNPJ próprio.</w:t>
      </w:r>
    </w:p>
    <w:p>
      <w:pPr>
        <w:pStyle w:val="ListParagraph"/>
        <w:numPr>
          <w:ilvl w:val="0"/>
          <w:numId w:val="3"/>
        </w:numPr>
        <w:spacing w:after="60"/>
      </w:pPr>
      <w:r>
        <w:rPr>
          <w:b/>
          <w:bCs/>
        </w:rPr>
        <w:t xml:space="preserve">Natureza do contrato entre Anfitrião e Locatário.</w:t>
      </w:r>
      <w:r>
        <w:t xml:space="preserve"> A cessão de uso por hora de espaço mobiliado está qualificada como contratação de serviço/cessão de uso, e não como locação da Lei 8.245/91. Confirmar a qualificação e seus efeitos (Termos de Uso, Regras de Reserva).</w:t>
      </w:r>
    </w:p>
    <w:p>
      <w:pPr>
        <w:pStyle w:val="ListParagraph"/>
        <w:numPr>
          <w:ilvl w:val="0"/>
          <w:numId w:val="3"/>
        </w:numPr>
        <w:spacing w:after="60"/>
      </w:pPr>
      <w:r>
        <w:rPr>
          <w:b/>
          <w:bCs/>
        </w:rPr>
        <w:t xml:space="preserve">Responsabilidade da plataforma como intermediadora</w:t>
      </w:r>
      <w:r>
        <w:t xml:space="preserve"> (CDC e Marco Civil): limites de responsabilidade, danos no espaço, conduta das partes e exercício ilegal de profissão (Termos, Obrigações do Anfitrião, Penalidades).</w:t>
      </w:r>
    </w:p>
    <w:p>
      <w:pPr>
        <w:pStyle w:val="ListParagraph"/>
        <w:numPr>
          <w:ilvl w:val="0"/>
          <w:numId w:val="3"/>
        </w:numPr>
        <w:spacing w:after="60"/>
      </w:pPr>
      <w:r>
        <w:rPr>
          <w:b/>
          <w:bCs/>
        </w:rPr>
        <w:t xml:space="preserve">Taxas, ISS e documentos fiscais.</w:t>
      </w:r>
      <w:r>
        <w:t xml:space="preserve"> A taxa de serviço e o ISS "de referência" são somados ao preço. Validar a forma de cobrança e de informação ao consumidor, o município de incidência do ISS (Maringá) e a emissão de nota fiscal sobre as comissões (Pagamentos).</w:t>
      </w:r>
    </w:p>
    <w:p>
      <w:pPr>
        <w:pStyle w:val="ListParagraph"/>
        <w:numPr>
          <w:ilvl w:val="0"/>
          <w:numId w:val="3"/>
        </w:numPr>
        <w:spacing w:after="60"/>
      </w:pPr>
      <w:r>
        <w:rPr>
          <w:b/>
          <w:bCs/>
        </w:rPr>
        <w:t xml:space="preserve">Direito de arrependimento (CDC, art. 49)</w:t>
      </w:r>
      <w:r>
        <w:t xml:space="preserve"> em serviço contratado para data próxima ou já iniciado, e desistência das ocorrências futuras de uma série (Cancelamento e Reembolso, 4.x).</w:t>
      </w:r>
    </w:p>
    <w:p>
      <w:pPr>
        <w:pStyle w:val="ListParagraph"/>
        <w:numPr>
          <w:ilvl w:val="0"/>
          <w:numId w:val="3"/>
        </w:numPr>
        <w:spacing w:after="60"/>
      </w:pPr>
      <w:r>
        <w:rPr>
          <w:b/>
          <w:bCs/>
        </w:rPr>
        <w:t xml:space="preserve">Caução como garantia parcial e avalista</w:t>
      </w:r>
      <w:r>
        <w:t xml:space="preserve"> (fiança): validade da garantia fidejussória aceita on-line, limite de responsabilidade do avalista, cobrança após mediação e necessidade de outorga conjugal (Avalista e Caução, 2.6.1; Penalidades, 4.4).</w:t>
      </w:r>
    </w:p>
    <w:p>
      <w:pPr>
        <w:pStyle w:val="ListParagraph"/>
        <w:numPr>
          <w:ilvl w:val="0"/>
          <w:numId w:val="3"/>
        </w:numPr>
        <w:spacing w:after="60"/>
      </w:pPr>
      <w:r>
        <w:rPr>
          <w:b/>
          <w:bCs/>
        </w:rPr>
        <w:t xml:space="preserve">Penalidades</w:t>
      </w:r>
      <w:r>
        <w:t xml:space="preserve"> (advertências, suspensão, exclusão, multas por atraso e dano) e cláusulas penais em contrato de adesão (Penalidades; CDC, art. 51).</w:t>
      </w:r>
    </w:p>
    <w:p>
      <w:pPr>
        <w:pStyle w:val="ListParagraph"/>
        <w:numPr>
          <w:ilvl w:val="0"/>
          <w:numId w:val="3"/>
        </w:numPr>
        <w:spacing w:after="60"/>
      </w:pPr>
      <w:r>
        <w:rPr>
          <w:b/>
          <w:bCs/>
        </w:rPr>
        <w:t xml:space="preserve">LGPD:</w:t>
      </w:r>
    </w:p>
    <w:p>
      <w:pPr>
        <w:pStyle w:val="ListParagraph"/>
        <w:numPr>
          <w:ilvl w:val="1"/>
          <w:numId w:val="2"/>
        </w:numPr>
        <w:spacing w:after="60"/>
      </w:pPr>
      <w:r>
        <w:t xml:space="preserve">bases legais;</w:t>
      </w:r>
    </w:p>
    <w:p>
      <w:pPr>
        <w:pStyle w:val="ListParagraph"/>
        <w:numPr>
          <w:ilvl w:val="1"/>
          <w:numId w:val="2"/>
        </w:numPr>
        <w:spacing w:after="60"/>
      </w:pPr>
      <w:r>
        <w:t xml:space="preserve">pré-triagem por IA e revisão humana (art. 20);</w:t>
      </w:r>
    </w:p>
    <w:p>
      <w:pPr>
        <w:pStyle w:val="ListParagraph"/>
        <w:numPr>
          <w:ilvl w:val="1"/>
          <w:numId w:val="2"/>
        </w:numPr>
        <w:spacing w:after="60"/>
      </w:pPr>
      <w:r>
        <w:t xml:space="preserve">selfie e foto do documento (tratadas com base no art. 11, II, "g");</w:t>
      </w:r>
    </w:p>
    <w:p>
      <w:pPr>
        <w:pStyle w:val="ListParagraph"/>
        <w:numPr>
          <w:ilvl w:val="1"/>
          <w:numId w:val="2"/>
        </w:numPr>
        <w:spacing w:after="60"/>
      </w:pPr>
      <w:r>
        <w:t xml:space="preserve">guarda de IP (Marco Civil, art. 15);</w:t>
      </w:r>
    </w:p>
    <w:p>
      <w:pPr>
        <w:pStyle w:val="ListParagraph"/>
        <w:numPr>
          <w:ilvl w:val="1"/>
          <w:numId w:val="2"/>
        </w:numPr>
        <w:spacing w:after="60"/>
      </w:pPr>
      <w:r>
        <w:t xml:space="preserve">marketing com consentimento separado e lembretes de reserva não concluída;</w:t>
      </w:r>
    </w:p>
    <w:p>
      <w:pPr>
        <w:pStyle w:val="ListParagraph"/>
        <w:numPr>
          <w:ilvl w:val="1"/>
          <w:numId w:val="2"/>
        </w:numPr>
        <w:spacing w:after="60"/>
      </w:pPr>
      <w:r>
        <w:t xml:space="preserve">retenção e eliminação (Política de Privacidade, 3.4 e 3.5).</w:t>
      </w:r>
    </w:p>
    <w:p>
      <w:pPr>
        <w:pStyle w:val="ListParagraph"/>
        <w:numPr>
          <w:ilvl w:val="0"/>
          <w:numId w:val="3"/>
        </w:numPr>
        <w:spacing w:after="60"/>
      </w:pPr>
      <w:r>
        <w:rPr>
          <w:b/>
          <w:bCs/>
        </w:rPr>
        <w:t xml:space="preserve">Normas de conduta e proibições:</w:t>
      </w:r>
      <w:r>
        <w:t xml:space="preserve"> produtos químicos, explosivos, armas e munições; agressões a funcionários e terceiros; uso dentro dos limites legais (Normas de Conduta).</w:t>
      </w:r>
    </w:p>
    <w:p>
      <w:pPr>
        <w:pStyle w:val="ListParagraph"/>
        <w:numPr>
          <w:ilvl w:val="0"/>
          <w:numId w:val="3"/>
        </w:numPr>
        <w:spacing w:after="60"/>
      </w:pPr>
      <w:r>
        <w:rPr>
          <w:b/>
          <w:bCs/>
        </w:rPr>
        <w:t xml:space="preserve">Foro:</w:t>
      </w:r>
      <w:r>
        <w:t xml:space="preserve"> comarca de Maringá/PR para não consumidores, e domicílio do consumidor preservado (Termos, 16.3).</w:t>
      </w:r>
    </w:p>
    <w:p>
      <w:pPr>
        <w:pStyle w:val="Heading2"/>
      </w:pPr>
      <w:r>
        <w:t xml:space="preserve">Observações</w:t>
      </w:r>
    </w:p>
    <w:p>
      <w:pPr>
        <w:pStyle w:val="ListParagraph"/>
        <w:numPr>
          <w:ilvl w:val="0"/>
          <w:numId w:val="2"/>
        </w:numPr>
        <w:spacing w:after="60"/>
      </w:pPr>
      <w:r>
        <w:t xml:space="preserve">O documento "Regras por País", sobre a expansão internacional, não foi incluído, porque o lançamento é só no Brasil. Posso enviá-lo depois, se quiser.</w:t>
      </w:r>
    </w:p>
    <w:p>
      <w:pPr>
        <w:pStyle w:val="ListParagraph"/>
        <w:numPr>
          <w:ilvl w:val="0"/>
          <w:numId w:val="2"/>
        </w:numPr>
        <w:spacing w:after="60"/>
      </w:pPr>
      <w:r>
        <w:t xml:space="preserve">Qualquer alteração que a senhora sugerir será aplicada no site e no aplicativo. A versão aceita por cada usuário fica registrada com data e hora.</w:t>
      </w:r>
    </w:p>
    <w:p>
      <w:pPr>
        <w:spacing w:after="120"/>
        <w:jc w:val="both"/>
      </w:pPr>
      <w:r>
        <w:t xml:space="preserve">Obrigado!</w:t>
      </w:r>
    </w:p>
    <w:p>
      <w:pPr>
        <w:spacing w:after="120"/>
        <w:jc w:val="both"/>
      </w:pPr>
      <w:r>
        <w:t xml:space="preserve">Robson Ravel de Oliveira</w:t>
      </w:r>
    </w:p>
    <w:p>
      <w:r>
        <w:br w:type="page"/>
      </w:r>
    </w:p>
    <w:p>
      <w:pPr>
        <w:pStyle w:val="Heading1"/>
      </w:pPr>
      <w:r>
        <w:t xml:space="preserve">Termos de Uso da Plataforma SpaceHour</w:t>
      </w:r>
    </w:p>
    <w:p>
      <w:pPr>
        <w:spacing w:after="120"/>
        <w:jc w:val="both"/>
      </w:pPr>
      <w:r>
        <w:t xml:space="preserve">Versão 2026-09-25 · Vigência a partir de 25/09/2026</w:t>
      </w:r>
    </w:p>
    <w:p>
      <w:pPr>
        <w:pBdr>
          <w:left w:val="single" w:color="0F766E" w:sz="12" w:space="8"/>
        </w:pBdr>
        <w:ind w:left="400"/>
      </w:pPr>
      <w:r>
        <w:rPr>
          <w:b/>
          <w:bCs/>
          <w:i/>
          <w:iCs/>
        </w:rPr>
        <w:t xml:space="preserve">Nota interna — revisão jurídica obrigatória.</w:t>
      </w:r>
      <w:r>
        <w:rPr>
          <w:i/>
          <w:iCs/>
        </w:rPr>
        <w:t xml:space="preserve"> Este conjunto de documentos foi redigido como base única para todos os países atendidos e reflete os parâmetros de negócio implementados no sistema (versão de regras 2026-09-24). Antes do lançamento em cada país, os documentos DEVEM ser revisados e adaptados por advogados habilitados na respectiva jurisdição, inclusive quanto a idioma obrigatório, cláusulas consideradas abusivas, requisitos tributários, de proteção de dados e de registro da operadora. Esta nota deve ser removida da versão publicada.</w:t>
      </w:r>
    </w:p>
    <w:p>
      <w:pPr>
        <w:pStyle w:val="Heading2"/>
      </w:pPr>
      <w:r>
        <w:t xml:space="preserve">1. Partes e aceitação</w:t>
      </w:r>
    </w:p>
    <w:p>
      <w:pPr>
        <w:spacing w:after="120"/>
        <w:jc w:val="both"/>
      </w:pPr>
      <w:r>
        <w:t xml:space="preserve">1.1. Estes Termos de Uso ("Termos") regem o acesso e o uso do site, dos aplicativos e dos demais serviços digitais denominados </w:t>
      </w:r>
      <w:r>
        <w:rPr>
          <w:b/>
          <w:bCs/>
        </w:rPr>
        <w:t xml:space="preserve">SpaceHour</w:t>
      </w:r>
      <w:r>
        <w:t xml:space="preserve"> (a "Plataforma"), disponíveis nos domínios </w:t>
      </w:r>
      <w:r>
        <w:rPr>
          <w:b/>
          <w:bCs/>
        </w:rPr>
        <w:t xml:space="preserve">space-hour.com</w:t>
      </w:r>
      <w:r>
        <w:t xml:space="preserve"> (global) e </w:t>
      </w:r>
      <w:r>
        <w:rPr>
          <w:b/>
          <w:bCs/>
        </w:rPr>
        <w:t xml:space="preserve">spacehour.com.br</w:t>
      </w:r>
      <w:r>
        <w:t xml:space="preserve"> (Brasil), operados por </w:t>
      </w:r>
      <w:r>
        <w:rPr>
          <w:b/>
          <w:bCs/>
        </w:rPr>
        <w:t xml:space="preserve">Instituto Ravel de Ensino Superior Ltda.</w:t>
      </w:r>
      <w:r>
        <w:t xml:space="preserve">, inscrita no CNPJ sob o nº </w:t>
      </w:r>
      <w:r>
        <w:rPr>
          <w:b/>
          <w:bCs/>
        </w:rPr>
        <w:t xml:space="preserve">03.162.275/0001-10</w:t>
      </w:r>
      <w:r>
        <w:t xml:space="preserve">, com sede em </w:t>
      </w:r>
      <w:r>
        <w:rPr>
          <w:b/>
          <w:bCs/>
        </w:rPr>
        <w:t xml:space="preserve">Av. XV de Novembro, 255, Maringá/PR, CEP 87013-230, Brasil</w:t>
      </w:r>
      <w:r>
        <w:t xml:space="preserve"> (a "Operadora", "nós").</w:t>
      </w:r>
    </w:p>
    <w:p>
      <w:pPr>
        <w:spacing w:after="120"/>
        <w:jc w:val="both"/>
      </w:pPr>
      <w:r>
        <w:t xml:space="preserve">1.2. Ao criar uma conta, publicar um anúncio, fazer uma Reserva, aceitar um convite como Avalista ou utilizar a Plataforma de qualquer modo, o usuário declara ter lido, compreendido e aceitado estes Termos e os documentos que os integram (cláusula 1.4). Quem não concordar não deve utilizar a Plataforma.</w:t>
      </w:r>
    </w:p>
    <w:p>
      <w:pPr>
        <w:spacing w:after="120"/>
        <w:jc w:val="both"/>
      </w:pPr>
      <w:r>
        <w:t xml:space="preserve">1.3. O aceite é registrado eletronicamente, com data, hora e versão dos Termos vigentes, e cada Reserva registra também o aceite das Regras de Reserva e Uso e das normas do Espaço na versão aplicável.</w:t>
      </w:r>
    </w:p>
    <w:p>
      <w:pPr>
        <w:spacing w:after="120"/>
        <w:jc w:val="both"/>
      </w:pPr>
      <w:r>
        <w:t xml:space="preserve">1.4. Integram estes Termos, como anexos com a mesma força vinculante:</w:t>
      </w:r>
    </w:p>
    <w:p>
      <w:pPr>
        <w:pStyle w:val="ListParagraph"/>
        <w:numPr>
          <w:ilvl w:val="0"/>
          <w:numId w:val="2"/>
        </w:numPr>
        <w:spacing w:after="60"/>
      </w:pPr>
      <w:r>
        <w:t xml:space="preserve">(a) Regras de Reserva e Uso (</w:t>
      </w:r>
      <w:r>
        <w:rPr>
          <w:rFonts w:ascii="Consolas" w:cs="Consolas" w:eastAsia="Consolas" w:hAnsi="Consolas"/>
        </w:rPr>
        <w:t xml:space="preserve">booking-rules</w:t>
      </w:r>
      <w:r>
        <w:t xml:space="preserve">);</w:t>
      </w:r>
    </w:p>
    <w:p>
      <w:pPr>
        <w:pStyle w:val="ListParagraph"/>
        <w:numPr>
          <w:ilvl w:val="0"/>
          <w:numId w:val="2"/>
        </w:numPr>
        <w:spacing w:after="60"/>
      </w:pPr>
      <w:r>
        <w:t xml:space="preserve">(b) Política de Cancelamento e Reembolso (</w:t>
      </w:r>
      <w:r>
        <w:rPr>
          <w:rFonts w:ascii="Consolas" w:cs="Consolas" w:eastAsia="Consolas" w:hAnsi="Consolas"/>
        </w:rPr>
        <w:t xml:space="preserve">cancellation-refunds</w:t>
      </w:r>
      <w:r>
        <w:t xml:space="preserve">);</w:t>
      </w:r>
    </w:p>
    <w:p>
      <w:pPr>
        <w:pStyle w:val="ListParagraph"/>
        <w:numPr>
          <w:ilvl w:val="0"/>
          <w:numId w:val="2"/>
        </w:numPr>
        <w:spacing w:after="60"/>
      </w:pPr>
      <w:r>
        <w:t xml:space="preserve">(c) Penalidades e Medidas (</w:t>
      </w:r>
      <w:r>
        <w:rPr>
          <w:rFonts w:ascii="Consolas" w:cs="Consolas" w:eastAsia="Consolas" w:hAnsi="Consolas"/>
        </w:rPr>
        <w:t xml:space="preserve">penalties</w:t>
      </w:r>
      <w:r>
        <w:t xml:space="preserve">);</w:t>
      </w:r>
    </w:p>
    <w:p>
      <w:pPr>
        <w:pStyle w:val="ListParagraph"/>
        <w:numPr>
          <w:ilvl w:val="0"/>
          <w:numId w:val="2"/>
        </w:numPr>
        <w:spacing w:after="60"/>
      </w:pPr>
      <w:r>
        <w:t xml:space="preserve">(d) Normas de Conduta e Respeito aos Espaços (</w:t>
      </w:r>
      <w:r>
        <w:rPr>
          <w:rFonts w:ascii="Consolas" w:cs="Consolas" w:eastAsia="Consolas" w:hAnsi="Consolas"/>
        </w:rPr>
        <w:t xml:space="preserve">space-norms</w:t>
      </w:r>
      <w:r>
        <w:t xml:space="preserve">);</w:t>
      </w:r>
    </w:p>
    <w:p>
      <w:pPr>
        <w:pStyle w:val="ListParagraph"/>
        <w:numPr>
          <w:ilvl w:val="0"/>
          <w:numId w:val="2"/>
        </w:numPr>
        <w:spacing w:after="60"/>
      </w:pPr>
      <w:r>
        <w:t xml:space="preserve">(e) Avalista e Caução (</w:t>
      </w:r>
      <w:r>
        <w:rPr>
          <w:rFonts w:ascii="Consolas" w:cs="Consolas" w:eastAsia="Consolas" w:hAnsi="Consolas"/>
        </w:rPr>
        <w:t xml:space="preserve">guarantor-deposit</w:t>
      </w:r>
      <w:r>
        <w:t xml:space="preserve">);</w:t>
      </w:r>
    </w:p>
    <w:p>
      <w:pPr>
        <w:pStyle w:val="ListParagraph"/>
        <w:numPr>
          <w:ilvl w:val="0"/>
          <w:numId w:val="2"/>
        </w:numPr>
        <w:spacing w:after="60"/>
      </w:pPr>
      <w:r>
        <w:t xml:space="preserve">(f) Política de Avaliações (</w:t>
      </w:r>
      <w:r>
        <w:rPr>
          <w:rFonts w:ascii="Consolas" w:cs="Consolas" w:eastAsia="Consolas" w:hAnsi="Consolas"/>
        </w:rPr>
        <w:t xml:space="preserve">reviews</w:t>
      </w:r>
      <w:r>
        <w:t xml:space="preserve">);</w:t>
      </w:r>
    </w:p>
    <w:p>
      <w:pPr>
        <w:pStyle w:val="ListParagraph"/>
        <w:numPr>
          <w:ilvl w:val="0"/>
          <w:numId w:val="2"/>
        </w:numPr>
        <w:spacing w:after="60"/>
      </w:pPr>
      <w:r>
        <w:t xml:space="preserve">(g) Regras por País (</w:t>
      </w:r>
      <w:r>
        <w:rPr>
          <w:rFonts w:ascii="Consolas" w:cs="Consolas" w:eastAsia="Consolas" w:hAnsi="Consolas"/>
        </w:rPr>
        <w:t xml:space="preserve">country-rules</w:t>
      </w:r>
      <w:r>
        <w:t xml:space="preserve">);</w:t>
      </w:r>
    </w:p>
    <w:p>
      <w:pPr>
        <w:pStyle w:val="ListParagraph"/>
        <w:numPr>
          <w:ilvl w:val="0"/>
          <w:numId w:val="2"/>
        </w:numPr>
        <w:spacing w:after="60"/>
      </w:pPr>
      <w:r>
        <w:t xml:space="preserve">(h) Obrigações do Anfitrião (</w:t>
      </w:r>
      <w:r>
        <w:rPr>
          <w:rFonts w:ascii="Consolas" w:cs="Consolas" w:eastAsia="Consolas" w:hAnsi="Consolas"/>
        </w:rPr>
        <w:t xml:space="preserve">host-obligations</w:t>
      </w:r>
      <w:r>
        <w:t xml:space="preserve">);</w:t>
      </w:r>
    </w:p>
    <w:p>
      <w:pPr>
        <w:pStyle w:val="ListParagraph"/>
        <w:numPr>
          <w:ilvl w:val="0"/>
          <w:numId w:val="2"/>
        </w:numPr>
        <w:spacing w:after="60"/>
      </w:pPr>
      <w:r>
        <w:t xml:space="preserve">(i) Política de Privacidade (</w:t>
      </w:r>
      <w:r>
        <w:rPr>
          <w:rFonts w:ascii="Consolas" w:cs="Consolas" w:eastAsia="Consolas" w:hAnsi="Consolas"/>
        </w:rPr>
        <w:t xml:space="preserve">privacy</w:t>
      </w:r>
      <w:r>
        <w:t xml:space="preserve">);</w:t>
      </w:r>
    </w:p>
    <w:p>
      <w:pPr>
        <w:pStyle w:val="ListParagraph"/>
        <w:numPr>
          <w:ilvl w:val="0"/>
          <w:numId w:val="2"/>
        </w:numPr>
        <w:spacing w:after="60"/>
      </w:pPr>
      <w:r>
        <w:t xml:space="preserve">(j) Pagamentos Internacionais (</w:t>
      </w:r>
      <w:r>
        <w:rPr>
          <w:rFonts w:ascii="Consolas" w:cs="Consolas" w:eastAsia="Consolas" w:hAnsi="Consolas"/>
        </w:rPr>
        <w:t xml:space="preserve">payments</w:t>
      </w:r>
      <w:r>
        <w:t xml:space="preserve">);</w:t>
      </w:r>
    </w:p>
    <w:p>
      <w:pPr>
        <w:pStyle w:val="ListParagraph"/>
        <w:numPr>
          <w:ilvl w:val="0"/>
          <w:numId w:val="2"/>
        </w:numPr>
        <w:spacing w:after="60"/>
      </w:pPr>
      <w:r>
        <w:t xml:space="preserve">(k) Central de Resolução e Disputas (</w:t>
      </w:r>
      <w:r>
        <w:rPr>
          <w:rFonts w:ascii="Consolas" w:cs="Consolas" w:eastAsia="Consolas" w:hAnsi="Consolas"/>
        </w:rPr>
        <w:t xml:space="preserve">disputes</w:t>
      </w:r>
      <w:r>
        <w:t xml:space="preserve">).</w:t>
      </w:r>
    </w:p>
    <w:p>
      <w:pPr>
        <w:spacing w:after="120"/>
        <w:jc w:val="both"/>
      </w:pPr>
      <w:r>
        <w:t xml:space="preserve">1.5. Em caso de conflito entre documentos, prevalece, nesta ordem: (i) a norma legal imperativa aplicável; (ii) o documento específico sobre o tema; (iii) estes Termos. As normas internas publicadas pelo Anfitrião no anúncio complementam, mas não podem contrariar, os documentos da Plataforma.</w:t>
      </w:r>
    </w:p>
    <w:p>
      <w:pPr>
        <w:pStyle w:val="Heading2"/>
      </w:pPr>
      <w:r>
        <w:t xml:space="preserve">2. Definições</w:t>
      </w:r>
    </w:p>
    <w:p>
      <w:pPr>
        <w:spacing w:after="120"/>
        <w:jc w:val="both"/>
      </w:pPr>
      <w:r>
        <w:t xml:space="preserve">2.1. Para os fins destes Termos e de todos os documentos anexos, os termos abaixo, grafados com inicial maiúscula, têm o seguinte significado: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6F2F1" w:color="auto" w:val="clear"/>
            <w:tcMar>
              <w:top w:type="dxa" w:w="60"/>
              <w:left w:type="dxa" w:w="100"/>
              <w:bottom w:type="dxa" w:w="60"/>
              <w:right w:type="dxa" w:w="100"/>
            </w:tcMar>
          </w:tcPr>
          <w:p>
            <w:r>
              <w:rPr>
                <w:b/>
                <w:bCs/>
                <w:sz w:val="19"/>
                <w:szCs w:val="19"/>
              </w:rPr>
              <w:t xml:space="preserve">Termo</w:t>
            </w:r>
          </w:p>
        </w:tc>
        <w:tc>
          <w:tcPr>
            <w:tcW w:type="dxa" w:w="4819"/>
            <w:shd w:fill="E6F2F1" w:color="auto" w:val="clear"/>
            <w:tcMar>
              <w:top w:type="dxa" w:w="60"/>
              <w:left w:type="dxa" w:w="100"/>
              <w:bottom w:type="dxa" w:w="60"/>
              <w:right w:type="dxa" w:w="100"/>
            </w:tcMar>
          </w:tcPr>
          <w:p>
            <w:r>
              <w:rPr>
                <w:b/>
                <w:bCs/>
                <w:sz w:val="19"/>
                <w:szCs w:val="19"/>
              </w:rPr>
              <w:t xml:space="preserve">Definição</w:t>
            </w:r>
          </w:p>
        </w:tc>
      </w:tr>
      <w:tr>
        <w:trPr>
          <w:tblHeader w:val="off"/>
        </w:trPr>
        <w:tc>
          <w:tcPr>
            <w:tcW w:type="dxa" w:w="4819"/>
            <w:tcMar>
              <w:top w:type="dxa" w:w="60"/>
              <w:left w:type="dxa" w:w="100"/>
              <w:bottom w:type="dxa" w:w="60"/>
              <w:right w:type="dxa" w:w="100"/>
            </w:tcMar>
          </w:tcPr>
          <w:p>
            <w:r>
              <w:rPr>
                <w:b/>
                <w:bCs/>
                <w:sz w:val="19"/>
                <w:szCs w:val="19"/>
              </w:rPr>
              <w:t xml:space="preserve">Plataforma</w:t>
            </w:r>
          </w:p>
        </w:tc>
        <w:tc>
          <w:tcPr>
            <w:tcW w:type="dxa" w:w="4819"/>
            <w:tcMar>
              <w:top w:type="dxa" w:w="60"/>
              <w:left w:type="dxa" w:w="100"/>
              <w:bottom w:type="dxa" w:w="60"/>
              <w:right w:type="dxa" w:w="100"/>
            </w:tcMar>
          </w:tcPr>
          <w:p>
            <w:r>
              <w:rPr>
                <w:sz w:val="19"/>
                <w:szCs w:val="19"/>
              </w:rPr>
              <w:t xml:space="preserve">O ambiente digital SpaceHour (site, aplicativos, APIs e comunicações) operado pela Operadora.</w:t>
            </w:r>
          </w:p>
        </w:tc>
      </w:tr>
      <w:tr>
        <w:trPr>
          <w:tblHeader w:val="off"/>
        </w:trPr>
        <w:tc>
          <w:tcPr>
            <w:tcW w:type="dxa" w:w="4819"/>
            <w:tcMar>
              <w:top w:type="dxa" w:w="60"/>
              <w:left w:type="dxa" w:w="100"/>
              <w:bottom w:type="dxa" w:w="60"/>
              <w:right w:type="dxa" w:w="100"/>
            </w:tcMar>
          </w:tcPr>
          <w:p>
            <w:r>
              <w:rPr>
                <w:b/>
                <w:bCs/>
                <w:sz w:val="19"/>
                <w:szCs w:val="19"/>
              </w:rPr>
              <w:t xml:space="preserve">Operadora</w:t>
            </w:r>
          </w:p>
        </w:tc>
        <w:tc>
          <w:tcPr>
            <w:tcW w:type="dxa" w:w="4819"/>
            <w:tcMar>
              <w:top w:type="dxa" w:w="60"/>
              <w:left w:type="dxa" w:w="100"/>
              <w:bottom w:type="dxa" w:w="60"/>
              <w:right w:type="dxa" w:w="100"/>
            </w:tcMar>
          </w:tcPr>
          <w:p>
            <w:r>
              <w:rPr>
                <w:sz w:val="19"/>
                <w:szCs w:val="19"/>
              </w:rPr>
              <w:t xml:space="preserve">Instituto Ravel de Ensino Superior Ltda., responsável pela Plataforma.</w:t>
            </w:r>
          </w:p>
        </w:tc>
      </w:tr>
      <w:tr>
        <w:trPr>
          <w:tblHeader w:val="off"/>
        </w:trPr>
        <w:tc>
          <w:tcPr>
            <w:tcW w:type="dxa" w:w="4819"/>
            <w:tcMar>
              <w:top w:type="dxa" w:w="60"/>
              <w:left w:type="dxa" w:w="100"/>
              <w:bottom w:type="dxa" w:w="60"/>
              <w:right w:type="dxa" w:w="100"/>
            </w:tcMar>
          </w:tcPr>
          <w:p>
            <w:r>
              <w:rPr>
                <w:b/>
                <w:bCs/>
                <w:sz w:val="19"/>
                <w:szCs w:val="19"/>
              </w:rPr>
              <w:t xml:space="preserve">Usuário</w:t>
            </w:r>
          </w:p>
        </w:tc>
        <w:tc>
          <w:tcPr>
            <w:tcW w:type="dxa" w:w="4819"/>
            <w:tcMar>
              <w:top w:type="dxa" w:w="60"/>
              <w:left w:type="dxa" w:w="100"/>
              <w:bottom w:type="dxa" w:w="60"/>
              <w:right w:type="dxa" w:w="100"/>
            </w:tcMar>
          </w:tcPr>
          <w:p>
            <w:r>
              <w:rPr>
                <w:sz w:val="19"/>
                <w:szCs w:val="19"/>
              </w:rPr>
              <w:t xml:space="preserve">Qualquer pessoa física ou jurídica cadastrada na Plataforma.</w:t>
            </w:r>
          </w:p>
        </w:tc>
      </w:tr>
      <w:tr>
        <w:trPr>
          <w:tblHeader w:val="off"/>
        </w:trPr>
        <w:tc>
          <w:tcPr>
            <w:tcW w:type="dxa" w:w="4819"/>
            <w:tcMar>
              <w:top w:type="dxa" w:w="60"/>
              <w:left w:type="dxa" w:w="100"/>
              <w:bottom w:type="dxa" w:w="60"/>
              <w:right w:type="dxa" w:w="100"/>
            </w:tcMar>
          </w:tcPr>
          <w:p>
            <w:r>
              <w:rPr>
                <w:b/>
                <w:bCs/>
                <w:sz w:val="19"/>
                <w:szCs w:val="19"/>
              </w:rPr>
              <w:t xml:space="preserve">Anfitrião</w:t>
            </w:r>
          </w:p>
        </w:tc>
        <w:tc>
          <w:tcPr>
            <w:tcW w:type="dxa" w:w="4819"/>
            <w:tcMar>
              <w:top w:type="dxa" w:w="60"/>
              <w:left w:type="dxa" w:w="100"/>
              <w:bottom w:type="dxa" w:w="60"/>
              <w:right w:type="dxa" w:w="100"/>
            </w:tcMar>
          </w:tcPr>
          <w:p>
            <w:r>
              <w:rPr>
                <w:sz w:val="19"/>
                <w:szCs w:val="19"/>
              </w:rPr>
              <w:t xml:space="preserve">Usuário que anuncia um Espaço e o disponibiliza em seus horários ociosos.</w:t>
            </w:r>
          </w:p>
        </w:tc>
      </w:tr>
      <w:tr>
        <w:trPr>
          <w:tblHeader w:val="off"/>
        </w:trPr>
        <w:tc>
          <w:tcPr>
            <w:tcW w:type="dxa" w:w="4819"/>
            <w:tcMar>
              <w:top w:type="dxa" w:w="60"/>
              <w:left w:type="dxa" w:w="100"/>
              <w:bottom w:type="dxa" w:w="60"/>
              <w:right w:type="dxa" w:w="100"/>
            </w:tcMar>
          </w:tcPr>
          <w:p>
            <w:r>
              <w:rPr>
                <w:b/>
                <w:bCs/>
                <w:sz w:val="19"/>
                <w:szCs w:val="19"/>
              </w:rPr>
              <w:t xml:space="preserve">Locatário</w:t>
            </w:r>
          </w:p>
        </w:tc>
        <w:tc>
          <w:tcPr>
            <w:tcW w:type="dxa" w:w="4819"/>
            <w:tcMar>
              <w:top w:type="dxa" w:w="60"/>
              <w:left w:type="dxa" w:w="100"/>
              <w:bottom w:type="dxa" w:w="60"/>
              <w:right w:type="dxa" w:w="100"/>
            </w:tcMar>
          </w:tcPr>
          <w:p>
            <w:r>
              <w:rPr>
                <w:sz w:val="19"/>
                <w:szCs w:val="19"/>
              </w:rPr>
              <w:t xml:space="preserve">Usuário que reserva um Espaço para uso temporário, geralmente um profissional ou uma empresa. O termo é empregado por convenção de mercado e não implica existência de contrato de locação (cláusula 3).</w:t>
            </w:r>
          </w:p>
        </w:tc>
      </w:tr>
      <w:tr>
        <w:trPr>
          <w:tblHeader w:val="off"/>
        </w:trPr>
        <w:tc>
          <w:tcPr>
            <w:tcW w:type="dxa" w:w="4819"/>
            <w:tcMar>
              <w:top w:type="dxa" w:w="60"/>
              <w:left w:type="dxa" w:w="100"/>
              <w:bottom w:type="dxa" w:w="60"/>
              <w:right w:type="dxa" w:w="100"/>
            </w:tcMar>
          </w:tcPr>
          <w:p>
            <w:r>
              <w:rPr>
                <w:b/>
                <w:bCs/>
                <w:sz w:val="19"/>
                <w:szCs w:val="19"/>
              </w:rPr>
              <w:t xml:space="preserve">Cliente Final</w:t>
            </w:r>
          </w:p>
        </w:tc>
        <w:tc>
          <w:tcPr>
            <w:tcW w:type="dxa" w:w="4819"/>
            <w:tcMar>
              <w:top w:type="dxa" w:w="60"/>
              <w:left w:type="dxa" w:w="100"/>
              <w:bottom w:type="dxa" w:w="60"/>
              <w:right w:type="dxa" w:w="100"/>
            </w:tcMar>
          </w:tcPr>
          <w:p>
            <w:r>
              <w:rPr>
                <w:sz w:val="19"/>
                <w:szCs w:val="19"/>
              </w:rPr>
              <w:t xml:space="preserve">Paciente, cliente, aluno, participante ou outra pessoa atendida pelo Locatário no Espaço. O Cliente Final não é parte destes Termos, salvo quanto ao uso da ferramenta opcional de avaliação.</w:t>
            </w:r>
          </w:p>
        </w:tc>
      </w:tr>
      <w:tr>
        <w:trPr>
          <w:tblHeader w:val="off"/>
        </w:trPr>
        <w:tc>
          <w:tcPr>
            <w:tcW w:type="dxa" w:w="4819"/>
            <w:tcMar>
              <w:top w:type="dxa" w:w="60"/>
              <w:left w:type="dxa" w:w="100"/>
              <w:bottom w:type="dxa" w:w="60"/>
              <w:right w:type="dxa" w:w="100"/>
            </w:tcMar>
          </w:tcPr>
          <w:p>
            <w:r>
              <w:rPr>
                <w:b/>
                <w:bCs/>
                <w:sz w:val="19"/>
                <w:szCs w:val="19"/>
              </w:rPr>
              <w:t xml:space="preserve">Avalista</w:t>
            </w:r>
          </w:p>
        </w:tc>
        <w:tc>
          <w:tcPr>
            <w:tcW w:type="dxa" w:w="4819"/>
            <w:tcMar>
              <w:top w:type="dxa" w:w="60"/>
              <w:left w:type="dxa" w:w="100"/>
              <w:bottom w:type="dxa" w:w="60"/>
              <w:right w:type="dxa" w:w="100"/>
            </w:tcMar>
          </w:tcPr>
          <w:p>
            <w:r>
              <w:rPr>
                <w:sz w:val="19"/>
                <w:szCs w:val="19"/>
              </w:rPr>
              <w:t xml:space="preserve">Pessoa física maior de idade ou pessoa jurídica que, a pedido do Locatário, garante as obrigações financeiras de uma Reserva, nos limites do documento Avalista e Caução.</w:t>
            </w:r>
          </w:p>
        </w:tc>
      </w:tr>
      <w:tr>
        <w:trPr>
          <w:tblHeader w:val="off"/>
        </w:trPr>
        <w:tc>
          <w:tcPr>
            <w:tcW w:type="dxa" w:w="4819"/>
            <w:tcMar>
              <w:top w:type="dxa" w:w="60"/>
              <w:left w:type="dxa" w:w="100"/>
              <w:bottom w:type="dxa" w:w="60"/>
              <w:right w:type="dxa" w:w="100"/>
            </w:tcMar>
          </w:tcPr>
          <w:p>
            <w:r>
              <w:rPr>
                <w:b/>
                <w:bCs/>
                <w:sz w:val="19"/>
                <w:szCs w:val="19"/>
              </w:rPr>
              <w:t xml:space="preserve">Espaço</w:t>
            </w:r>
          </w:p>
        </w:tc>
        <w:tc>
          <w:tcPr>
            <w:tcW w:type="dxa" w:w="4819"/>
            <w:tcMar>
              <w:top w:type="dxa" w:w="60"/>
              <w:left w:type="dxa" w:w="100"/>
              <w:bottom w:type="dxa" w:w="60"/>
              <w:right w:type="dxa" w:w="100"/>
            </w:tcMar>
          </w:tcPr>
          <w:p>
            <w:r>
              <w:rPr>
                <w:sz w:val="19"/>
                <w:szCs w:val="19"/>
              </w:rPr>
              <w:t xml:space="preserve">Ambiente pronto para uso anunciado na Plataforma, como consultório odontológico, consultório médico, sala de psicologia, fisioterapia, estética, nutrição ou veterinária, escritório de advocacia, sala de aula, auditório, sala de reunião, coworking, estúdio, laboratório, cozinha profissional ou outro, com seu mobiliário e equipamentos descritos.</w:t>
            </w:r>
          </w:p>
        </w:tc>
      </w:tr>
      <w:tr>
        <w:trPr>
          <w:tblHeader w:val="off"/>
        </w:trPr>
        <w:tc>
          <w:tcPr>
            <w:tcW w:type="dxa" w:w="4819"/>
            <w:tcMar>
              <w:top w:type="dxa" w:w="60"/>
              <w:left w:type="dxa" w:w="100"/>
              <w:bottom w:type="dxa" w:w="60"/>
              <w:right w:type="dxa" w:w="100"/>
            </w:tcMar>
          </w:tcPr>
          <w:p>
            <w:r>
              <w:rPr>
                <w:b/>
                <w:bCs/>
                <w:sz w:val="19"/>
                <w:szCs w:val="19"/>
              </w:rPr>
              <w:t xml:space="preserve">Anúncio</w:t>
            </w:r>
          </w:p>
        </w:tc>
        <w:tc>
          <w:tcPr>
            <w:tcW w:type="dxa" w:w="4819"/>
            <w:tcMar>
              <w:top w:type="dxa" w:w="60"/>
              <w:left w:type="dxa" w:w="100"/>
              <w:bottom w:type="dxa" w:w="60"/>
              <w:right w:type="dxa" w:w="100"/>
            </w:tcMar>
          </w:tcPr>
          <w:p>
            <w:r>
              <w:rPr>
                <w:sz w:val="19"/>
                <w:szCs w:val="19"/>
              </w:rPr>
              <w:t xml:space="preserve">Página do Espaço na Plataforma, contendo descrição, fotos, equipamentos, capacidade, preços, disponibilidade, políticas e normas.</w:t>
            </w:r>
          </w:p>
        </w:tc>
      </w:tr>
      <w:tr>
        <w:trPr>
          <w:tblHeader w:val="off"/>
        </w:trPr>
        <w:tc>
          <w:tcPr>
            <w:tcW w:type="dxa" w:w="4819"/>
            <w:tcMar>
              <w:top w:type="dxa" w:w="60"/>
              <w:left w:type="dxa" w:w="100"/>
              <w:bottom w:type="dxa" w:w="60"/>
              <w:right w:type="dxa" w:w="100"/>
            </w:tcMar>
          </w:tcPr>
          <w:p>
            <w:r>
              <w:rPr>
                <w:b/>
                <w:bCs/>
                <w:sz w:val="19"/>
                <w:szCs w:val="19"/>
              </w:rPr>
              <w:t xml:space="preserve">Reserva</w:t>
            </w:r>
          </w:p>
        </w:tc>
        <w:tc>
          <w:tcPr>
            <w:tcW w:type="dxa" w:w="4819"/>
            <w:tcMar>
              <w:top w:type="dxa" w:w="60"/>
              <w:left w:type="dxa" w:w="100"/>
              <w:bottom w:type="dxa" w:w="60"/>
              <w:right w:type="dxa" w:w="100"/>
            </w:tcMar>
          </w:tcPr>
          <w:p>
            <w:r>
              <w:rPr>
                <w:sz w:val="19"/>
                <w:szCs w:val="19"/>
              </w:rPr>
              <w:t xml:space="preserve">Contrato celebrado entre Anfitrião e Locatário por meio da Plataforma, composto por uma ou mais Ocorrências.</w:t>
            </w:r>
          </w:p>
        </w:tc>
      </w:tr>
      <w:tr>
        <w:trPr>
          <w:tblHeader w:val="off"/>
        </w:trPr>
        <w:tc>
          <w:tcPr>
            <w:tcW w:type="dxa" w:w="4819"/>
            <w:tcMar>
              <w:top w:type="dxa" w:w="60"/>
              <w:left w:type="dxa" w:w="100"/>
              <w:bottom w:type="dxa" w:w="60"/>
              <w:right w:type="dxa" w:w="100"/>
            </w:tcMar>
          </w:tcPr>
          <w:p>
            <w:r>
              <w:rPr>
                <w:b/>
                <w:bCs/>
                <w:sz w:val="19"/>
                <w:szCs w:val="19"/>
              </w:rPr>
              <w:t xml:space="preserve">Ocorrência</w:t>
            </w:r>
          </w:p>
        </w:tc>
        <w:tc>
          <w:tcPr>
            <w:tcW w:type="dxa" w:w="4819"/>
            <w:tcMar>
              <w:top w:type="dxa" w:w="60"/>
              <w:left w:type="dxa" w:w="100"/>
              <w:bottom w:type="dxa" w:w="60"/>
              <w:right w:type="dxa" w:w="100"/>
            </w:tcMar>
          </w:tcPr>
          <w:p>
            <w:r>
              <w:rPr>
                <w:sz w:val="19"/>
                <w:szCs w:val="19"/>
              </w:rPr>
              <w:t xml:space="preserve">Cada período contínuo de uso de um Espaço, em uma data, com horário de início e término, dentro de uma Reserva (por exemplo, cada terça-feira de uma série semanal).</w:t>
            </w:r>
          </w:p>
        </w:tc>
      </w:tr>
      <w:tr>
        <w:trPr>
          <w:tblHeader w:val="off"/>
        </w:trPr>
        <w:tc>
          <w:tcPr>
            <w:tcW w:type="dxa" w:w="4819"/>
            <w:tcMar>
              <w:top w:type="dxa" w:w="60"/>
              <w:left w:type="dxa" w:w="100"/>
              <w:bottom w:type="dxa" w:w="60"/>
              <w:right w:type="dxa" w:w="100"/>
            </w:tcMar>
          </w:tcPr>
          <w:p>
            <w:r>
              <w:rPr>
                <w:b/>
                <w:bCs/>
                <w:sz w:val="19"/>
                <w:szCs w:val="19"/>
              </w:rPr>
              <w:t xml:space="preserve">Valor Base</w:t>
            </w:r>
          </w:p>
        </w:tc>
        <w:tc>
          <w:tcPr>
            <w:tcW w:type="dxa" w:w="4819"/>
            <w:tcMar>
              <w:top w:type="dxa" w:w="60"/>
              <w:left w:type="dxa" w:w="100"/>
              <w:bottom w:type="dxa" w:w="60"/>
              <w:right w:type="dxa" w:w="100"/>
            </w:tcMar>
          </w:tcPr>
          <w:p>
            <w:r>
              <w:rPr>
                <w:sz w:val="19"/>
                <w:szCs w:val="19"/>
              </w:rPr>
              <w:t xml:space="preserve">Soma dos preços por hora ou por diária das Ocorrências de uma Reserva, sem taxas.</w:t>
            </w:r>
          </w:p>
        </w:tc>
      </w:tr>
      <w:tr>
        <w:trPr>
          <w:tblHeader w:val="off"/>
        </w:trPr>
        <w:tc>
          <w:tcPr>
            <w:tcW w:type="dxa" w:w="4819"/>
            <w:tcMar>
              <w:top w:type="dxa" w:w="60"/>
              <w:left w:type="dxa" w:w="100"/>
              <w:bottom w:type="dxa" w:w="60"/>
              <w:right w:type="dxa" w:w="100"/>
            </w:tcMar>
          </w:tcPr>
          <w:p>
            <w:r>
              <w:rPr>
                <w:b/>
                <w:bCs/>
                <w:sz w:val="19"/>
                <w:szCs w:val="19"/>
              </w:rPr>
              <w:t xml:space="preserve">Taxa de Limpeza</w:t>
            </w:r>
          </w:p>
        </w:tc>
        <w:tc>
          <w:tcPr>
            <w:tcW w:type="dxa" w:w="4819"/>
            <w:tcMar>
              <w:top w:type="dxa" w:w="60"/>
              <w:left w:type="dxa" w:w="100"/>
              <w:bottom w:type="dxa" w:w="60"/>
              <w:right w:type="dxa" w:w="100"/>
            </w:tcMar>
          </w:tcPr>
          <w:p>
            <w:r>
              <w:rPr>
                <w:sz w:val="19"/>
                <w:szCs w:val="19"/>
              </w:rPr>
              <w:t xml:space="preserve">Valor fixo por Ocorrência definido pelo Anfitrião, limitado a 30% do Valor Base.</w:t>
            </w:r>
          </w:p>
        </w:tc>
      </w:tr>
      <w:tr>
        <w:trPr>
          <w:tblHeader w:val="off"/>
        </w:trPr>
        <w:tc>
          <w:tcPr>
            <w:tcW w:type="dxa" w:w="4819"/>
            <w:tcMar>
              <w:top w:type="dxa" w:w="60"/>
              <w:left w:type="dxa" w:w="100"/>
              <w:bottom w:type="dxa" w:w="60"/>
              <w:right w:type="dxa" w:w="100"/>
            </w:tcMar>
          </w:tcPr>
          <w:p>
            <w:r>
              <w:rPr>
                <w:b/>
                <w:bCs/>
                <w:sz w:val="19"/>
                <w:szCs w:val="19"/>
              </w:rPr>
              <w:t xml:space="preserve">Taxa de Serviço</w:t>
            </w:r>
          </w:p>
        </w:tc>
        <w:tc>
          <w:tcPr>
            <w:tcW w:type="dxa" w:w="4819"/>
            <w:tcMar>
              <w:top w:type="dxa" w:w="60"/>
              <w:left w:type="dxa" w:w="100"/>
              <w:bottom w:type="dxa" w:w="60"/>
              <w:right w:type="dxa" w:w="100"/>
            </w:tcMar>
          </w:tcPr>
          <w:p>
            <w:r>
              <w:rPr>
                <w:sz w:val="19"/>
                <w:szCs w:val="19"/>
              </w:rPr>
              <w:t xml:space="preserve">Remuneração da Operadora pela intermediação: 15% pagos pelo Locatário e 5% descontados do repasse ao Anfitrião, calculados sobre Valor Base mais Taxa de Limpeza.</w:t>
            </w:r>
          </w:p>
        </w:tc>
      </w:tr>
      <w:tr>
        <w:trPr>
          <w:tblHeader w:val="off"/>
        </w:trPr>
        <w:tc>
          <w:tcPr>
            <w:tcW w:type="dxa" w:w="4819"/>
            <w:tcMar>
              <w:top w:type="dxa" w:w="60"/>
              <w:left w:type="dxa" w:w="100"/>
              <w:bottom w:type="dxa" w:w="60"/>
              <w:right w:type="dxa" w:w="100"/>
            </w:tcMar>
          </w:tcPr>
          <w:p>
            <w:r>
              <w:rPr>
                <w:b/>
                <w:bCs/>
                <w:sz w:val="19"/>
                <w:szCs w:val="19"/>
              </w:rPr>
              <w:t xml:space="preserve">Caução</w:t>
            </w:r>
          </w:p>
        </w:tc>
        <w:tc>
          <w:tcPr>
            <w:tcW w:type="dxa" w:w="4819"/>
            <w:tcMar>
              <w:top w:type="dxa" w:w="60"/>
              <w:left w:type="dxa" w:w="100"/>
              <w:bottom w:type="dxa" w:w="60"/>
              <w:right w:type="dxa" w:w="100"/>
            </w:tcMar>
          </w:tcPr>
          <w:p>
            <w:r>
              <w:rPr>
                <w:sz w:val="19"/>
                <w:szCs w:val="19"/>
              </w:rPr>
              <w:t xml:space="preserve">Pré-autorização (bloqueio temporário) no meio de pagamento do Locatário, limitada a 3 vezes o Valor Base, destinada a garantir danos e penalidades.</w:t>
            </w:r>
          </w:p>
        </w:tc>
      </w:tr>
      <w:tr>
        <w:trPr>
          <w:tblHeader w:val="off"/>
        </w:trPr>
        <w:tc>
          <w:tcPr>
            <w:tcW w:type="dxa" w:w="4819"/>
            <w:tcMar>
              <w:top w:type="dxa" w:w="60"/>
              <w:left w:type="dxa" w:w="100"/>
              <w:bottom w:type="dxa" w:w="60"/>
              <w:right w:type="dxa" w:w="100"/>
            </w:tcMar>
          </w:tcPr>
          <w:p>
            <w:r>
              <w:rPr>
                <w:b/>
                <w:bCs/>
                <w:sz w:val="19"/>
                <w:szCs w:val="19"/>
              </w:rPr>
              <w:t xml:space="preserve">Incidente</w:t>
            </w:r>
          </w:p>
        </w:tc>
        <w:tc>
          <w:tcPr>
            <w:tcW w:type="dxa" w:w="4819"/>
            <w:tcMar>
              <w:top w:type="dxa" w:w="60"/>
              <w:left w:type="dxa" w:w="100"/>
              <w:bottom w:type="dxa" w:w="60"/>
              <w:right w:type="dxa" w:w="100"/>
            </w:tcMar>
          </w:tcPr>
          <w:p>
            <w:r>
              <w:rPr>
                <w:sz w:val="19"/>
                <w:szCs w:val="19"/>
              </w:rPr>
              <w:t xml:space="preserve">Registro formal, aberto na Central de Resolução, de um fato ocorrido em uma Reserva que pode gerar cobrança, Advertência ou outra medida (por exemplo, atraso na saída ou dano). Não se confunde com Ocorrência, que designa o período reservado.</w:t>
            </w:r>
          </w:p>
        </w:tc>
      </w:tr>
      <w:tr>
        <w:trPr>
          <w:tblHeader w:val="off"/>
        </w:trPr>
        <w:tc>
          <w:tcPr>
            <w:tcW w:type="dxa" w:w="4819"/>
            <w:tcMar>
              <w:top w:type="dxa" w:w="60"/>
              <w:left w:type="dxa" w:w="100"/>
              <w:bottom w:type="dxa" w:w="60"/>
              <w:right w:type="dxa" w:w="100"/>
            </w:tcMar>
          </w:tcPr>
          <w:p>
            <w:r>
              <w:rPr>
                <w:b/>
                <w:bCs/>
                <w:sz w:val="19"/>
                <w:szCs w:val="19"/>
              </w:rPr>
              <w:t xml:space="preserve">Advertência</w:t>
            </w:r>
          </w:p>
        </w:tc>
        <w:tc>
          <w:tcPr>
            <w:tcW w:type="dxa" w:w="4819"/>
            <w:tcMar>
              <w:top w:type="dxa" w:w="60"/>
              <w:left w:type="dxa" w:w="100"/>
              <w:bottom w:type="dxa" w:w="60"/>
              <w:right w:type="dxa" w:w="100"/>
            </w:tcMar>
          </w:tcPr>
          <w:p>
            <w:r>
              <w:rPr>
                <w:sz w:val="19"/>
                <w:szCs w:val="19"/>
              </w:rPr>
              <w:t xml:space="preserve">Anotação no histórico do Usuário decorrente de infração, com efeitos previstos no documento Penalidades e Medidas.</w:t>
            </w:r>
          </w:p>
        </w:tc>
      </w:tr>
      <w:tr>
        <w:trPr>
          <w:tblHeader w:val="off"/>
        </w:trPr>
        <w:tc>
          <w:tcPr>
            <w:tcW w:type="dxa" w:w="4819"/>
            <w:tcMar>
              <w:top w:type="dxa" w:w="60"/>
              <w:left w:type="dxa" w:w="100"/>
              <w:bottom w:type="dxa" w:w="60"/>
              <w:right w:type="dxa" w:w="100"/>
            </w:tcMar>
          </w:tcPr>
          <w:p>
            <w:r>
              <w:rPr>
                <w:b/>
                <w:bCs/>
                <w:sz w:val="19"/>
                <w:szCs w:val="19"/>
              </w:rPr>
              <w:t xml:space="preserve">Fuso do Espaço</w:t>
            </w:r>
          </w:p>
        </w:tc>
        <w:tc>
          <w:tcPr>
            <w:tcW w:type="dxa" w:w="4819"/>
            <w:tcMar>
              <w:top w:type="dxa" w:w="60"/>
              <w:left w:type="dxa" w:w="100"/>
              <w:bottom w:type="dxa" w:w="60"/>
              <w:right w:type="dxa" w:w="100"/>
            </w:tcMar>
          </w:tcPr>
          <w:p>
            <w:r>
              <w:rPr>
                <w:sz w:val="19"/>
                <w:szCs w:val="19"/>
              </w:rPr>
              <w:t xml:space="preserve">Fuso horário oficial da cidade onde o Espaço está localizado, no qual todos os horários de uma Reserva são expressos.</w:t>
            </w:r>
          </w:p>
        </w:tc>
      </w:tr>
    </w:tbl>
    <w:p/>
    <w:p>
      <w:pPr>
        <w:pStyle w:val="Heading2"/>
      </w:pPr>
      <w:r>
        <w:t xml:space="preserve">3. Natureza jurídica da relação entre Anfitrião e Locatário</w:t>
      </w:r>
    </w:p>
    <w:p>
      <w:pPr>
        <w:spacing w:after="120"/>
        <w:jc w:val="both"/>
      </w:pPr>
      <w:r>
        <w:t xml:space="preserve">3.1. A Reserva constitui </w:t>
      </w:r>
      <w:r>
        <w:rPr>
          <w:b/>
          <w:bCs/>
        </w:rPr>
        <w:t xml:space="preserve">licença (cessão) de uso temporário de espaço equipado</w:t>
      </w:r>
      <w:r>
        <w:t xml:space="preserve">, por horas, turnos ou dias determinados, para o exercício de atividade profissional previamente declarada. A Reserva </w:t>
      </w:r>
      <w:r>
        <w:rPr>
          <w:b/>
          <w:bCs/>
        </w:rPr>
        <w:t xml:space="preserve">não constitui contrato de locação</w:t>
      </w:r>
      <w:r>
        <w:t xml:space="preserve"> de imóvel, nem locação não residencial, comercial ou empresarial, nem arrendamento, comodato de longo prazo ou cessão de posse.</w:t>
      </w:r>
    </w:p>
    <w:p>
      <w:pPr>
        <w:spacing w:after="120"/>
        <w:jc w:val="both"/>
      </w:pPr>
      <w:r>
        <w:t xml:space="preserve">3.2. O Locatário recebe exclusivamente o direito pessoal, intransferível e precário de ingressar e permanecer no Espaço durante as Ocorrências contratadas, utilizando o mobiliário e os equipamentos descritos no Anúncio. O Anfitrião mantém, a todo tempo, a posse, a guarda e o controle do Espaço.</w:t>
      </w:r>
    </w:p>
    <w:p>
      <w:pPr>
        <w:spacing w:after="120"/>
        <w:jc w:val="both"/>
      </w:pPr>
      <w:r>
        <w:t xml:space="preserve">3.3. No Brasil, a Reserva não se submete à Lei nº 8.245/1991 (Lei do Inquilinato), </w:t>
      </w:r>
      <w:r>
        <w:rPr>
          <w:b/>
          <w:bCs/>
        </w:rPr>
        <w:t xml:space="preserve">não gera fundo de comércio nem "ponto comercial"</w:t>
      </w:r>
      <w:r>
        <w:t xml:space="preserve">, não confere direito à ação renovatória, a direito de preferência, a denúncia vazia ou cheia nos termos daquela lei, nem a qualquer prorrogação automática. Em outras jurisdições, aplica-se o mesmo entendimento, com as figuras equivalentes (por exemplo, </w:t>
      </w:r>
      <w:r>
        <w:rPr>
          <w:i/>
          <w:iCs/>
        </w:rPr>
        <w:t xml:space="preserve">licence to occupy</w:t>
      </w:r>
      <w:r>
        <w:t xml:space="preserve"> no direito inglês, </w:t>
      </w:r>
      <w:r>
        <w:rPr>
          <w:i/>
          <w:iCs/>
        </w:rPr>
        <w:t xml:space="preserve">contrato de prestación de servicios/cesión de uso</w:t>
      </w:r>
      <w:r>
        <w:t xml:space="preserve"> em países hispânicos, </w:t>
      </w:r>
      <w:r>
        <w:rPr>
          <w:i/>
          <w:iCs/>
        </w:rPr>
        <w:t xml:space="preserve">Nutzungsvereinbarung</w:t>
      </w:r>
      <w:r>
        <w:t xml:space="preserve"> no direito alemão), sem geração de direitos de proteção ao inquilino, renovação ou estabilidade.</w:t>
      </w:r>
    </w:p>
    <w:p>
      <w:pPr>
        <w:spacing w:after="120"/>
        <w:jc w:val="both"/>
      </w:pPr>
      <w:r>
        <w:t xml:space="preserve">3.4. Para preservar essa natureza, a Plataforma impõe limites de duração, frequência e antecedência (documento Regras de Reserva e Uso), que não podem ser afastados pelas partes, entre eles: no máximo 12 horas por Ocorrência, sempre entre 06:00 e 23:00, sem pernoite; no máximo 5 dias consecutivos; recorrência semanal de no máximo 12 semanas; e teto de 120 horas por Locatário, por Espaço, em janela móvel de 30 dias.</w:t>
      </w:r>
    </w:p>
    <w:p>
      <w:pPr>
        <w:spacing w:after="120"/>
        <w:jc w:val="both"/>
      </w:pPr>
      <w:r>
        <w:t xml:space="preserve">3.5. É vedado ao Locatário utilizar o endereço do Espaço como sede, filial, domicílio fiscal, endereço de correspondência, endereço de registro profissional ou sanitário, fixar placa permanente ou praticar qualquer ato que indique ocupação contínua. O descumprimento autoriza as medidas previstas no documento Penalidades e Medidas, sem prejuízo de perdas e danos.</w:t>
      </w:r>
    </w:p>
    <w:p>
      <w:pPr>
        <w:spacing w:after="120"/>
        <w:jc w:val="both"/>
      </w:pPr>
      <w:r>
        <w:t xml:space="preserve">3.6. O Locatário é o único responsável técnico e profissional pelos serviços que presta aos seus Clientes Finais no Espaço. Não se estabelece entre Anfitrião e Locatário, nem entre qualquer deles e a Operadora, relação de emprego, sociedade, consórcio, associação, representação, franquia ou parceria.</w:t>
      </w:r>
    </w:p>
    <w:p>
      <w:pPr>
        <w:pStyle w:val="Heading2"/>
      </w:pPr>
      <w:r>
        <w:t xml:space="preserve">4. Papel da Plataforma</w:t>
      </w:r>
    </w:p>
    <w:p>
      <w:pPr>
        <w:spacing w:after="120"/>
        <w:jc w:val="both"/>
      </w:pPr>
      <w:r>
        <w:t xml:space="preserve">4.1. A Operadora presta serviço de </w:t>
      </w:r>
      <w:r>
        <w:rPr>
          <w:b/>
          <w:bCs/>
        </w:rPr>
        <w:t xml:space="preserve">intermediação digital</w:t>
      </w:r>
      <w:r>
        <w:t xml:space="preserve">: disponibiliza o ambiente tecnológico para que Anfitriões anunciem Espaços e Locatários os reservem, processa pagamentos por meio de instituições de pagamento parceiras — </w:t>
      </w:r>
      <w:r>
        <w:rPr>
          <w:b/>
          <w:bCs/>
        </w:rPr>
        <w:t xml:space="preserve">Mercado Pago</w:t>
      </w:r>
      <w:r>
        <w:t xml:space="preserve"> (principalmente na América Latina: Brasil, Argentina, Chile, Colômbia, México, Peru e Uruguai) e </w:t>
      </w:r>
      <w:r>
        <w:rPr>
          <w:b/>
          <w:bCs/>
        </w:rPr>
        <w:t xml:space="preserve">Stripe</w:t>
      </w:r>
      <w:r>
        <w:t xml:space="preserve"> (demais países e operações internacionais) —, sem que os dados de cartão transitem pelos servidores da Plataforma, administra a Caução e o convite ao Avalista, mantém a Central de Resolução e aplica as regras destes Termos.</w:t>
      </w:r>
    </w:p>
    <w:p>
      <w:pPr>
        <w:spacing w:after="120"/>
        <w:jc w:val="both"/>
      </w:pPr>
      <w:r>
        <w:t xml:space="preserve">4.2. A Operadora </w:t>
      </w:r>
      <w:r>
        <w:rPr>
          <w:b/>
          <w:bCs/>
        </w:rPr>
        <w:t xml:space="preserve">não é proprietária, possuidora, administradora nem locadora</w:t>
      </w:r>
      <w:r>
        <w:t xml:space="preserve"> dos Espaços, não presta os serviços profissionais realizados nos Espaços e não é empregadora, preposta ou representante de Anfitriões ou Locatários.</w:t>
      </w:r>
    </w:p>
    <w:p>
      <w:pPr>
        <w:spacing w:after="120"/>
        <w:jc w:val="both"/>
      </w:pPr>
      <w:r>
        <w:t xml:space="preserve">4.3. A Operadora não garante a veracidade integral das informações prestadas pelos Usuários, mas adota medidas razoáveis de verificação (cláusula 6) e pode remover Anúncios ou contas que violem estes Termos.</w:t>
      </w:r>
    </w:p>
    <w:p>
      <w:pPr>
        <w:spacing w:after="120"/>
        <w:jc w:val="both"/>
      </w:pPr>
      <w:r>
        <w:t xml:space="preserve">4.4. Nas relações de consumo, a Operadora responde nos limites da legislação aplicável pelos serviços que ela própria presta (intermediação, pagamentos, atendimento), sem prejuízo dos direitos do consumidor previstos em lei.</w:t>
      </w:r>
    </w:p>
    <w:p>
      <w:pPr>
        <w:spacing w:after="120"/>
        <w:jc w:val="both"/>
      </w:pPr>
      <w:r>
        <w:t xml:space="preserve">4.5. A Operadora atua como agente de cobrança limitado do Anfitrião para o recebimento do preço da Reserva: o pagamento feito pelo Locatário à Plataforma, na forma do documento Pagamentos Internacionais, é considerado feito ao Anfitrião.</w:t>
      </w:r>
    </w:p>
    <w:p>
      <w:pPr>
        <w:pStyle w:val="Heading2"/>
      </w:pPr>
      <w:r>
        <w:t xml:space="preserve">5. Elegibilidade</w:t>
      </w:r>
    </w:p>
    <w:p>
      <w:pPr>
        <w:spacing w:after="120"/>
        <w:jc w:val="both"/>
      </w:pPr>
      <w:r>
        <w:t xml:space="preserve">5.1. Podem utilizar a Plataforma pessoas físicas com a idade mínima legal aplicável e plena capacidade civil, e pessoas jurídicas regularmente constituídas, representadas por quem tenha poderes para tanto.</w:t>
      </w:r>
    </w:p>
    <w:p>
      <w:pPr>
        <w:spacing w:after="120"/>
        <w:jc w:val="both"/>
      </w:pPr>
      <w:r>
        <w:t xml:space="preserve">5.2. A idade mínima é de </w:t>
      </w:r>
      <w:r>
        <w:rPr>
          <w:b/>
          <w:bCs/>
        </w:rPr>
        <w:t xml:space="preserve">18 anos</w:t>
      </w:r>
      <w:r>
        <w:t xml:space="preserve"> em todos os países atendidos, exceto nos </w:t>
      </w:r>
      <w:r>
        <w:rPr>
          <w:b/>
          <w:bCs/>
        </w:rPr>
        <w:t xml:space="preserve">Emirados Árabes Unidos</w:t>
      </w:r>
      <w:r>
        <w:t xml:space="preserve">, onde é de </w:t>
      </w:r>
      <w:r>
        <w:rPr>
          <w:b/>
          <w:bCs/>
        </w:rPr>
        <w:t xml:space="preserve">21 anos</w:t>
      </w:r>
      <w:r>
        <w:t xml:space="preserve">. O Avalista deve ter, no mínimo, 18 anos ou a idade mínima do país, se maior. Quando a maioridade civil do local de domicílio do Usuário for superior à idade mínima da Plataforma (por exemplo, 19 anos em alguns estados dos Estados Unidos e províncias do Canadá), o Usuário declara ter atingido a maioridade aplicável.</w:t>
      </w:r>
    </w:p>
    <w:p>
      <w:pPr>
        <w:spacing w:after="120"/>
        <w:jc w:val="both"/>
      </w:pPr>
      <w:r>
        <w:t xml:space="preserve">5.3. Para reservar Espaços cujo Anúncio exija registro profissional (por exemplo, consultórios odontológicos, médicos ou de psicologia, ou escritórios de advocacia), o Locatário deve possuir registro ativo no órgão de classe competente, tê-lo submetido à verificação da Plataforma (cláusula 6.5) e observar o documento Regras por País.</w:t>
      </w:r>
    </w:p>
    <w:p>
      <w:pPr>
        <w:spacing w:after="120"/>
        <w:jc w:val="both"/>
      </w:pPr>
      <w:r>
        <w:t xml:space="preserve">5.4. Não podem utilizar a Plataforma pessoas que tenham sido excluídas anteriormente, que estejam em listas de sanções aplicáveis, ou cuja utilização seja vedada pela lei do seu país.</w:t>
      </w:r>
    </w:p>
    <w:p>
      <w:pPr>
        <w:pStyle w:val="Heading2"/>
      </w:pPr>
      <w:r>
        <w:t xml:space="preserve">6. Conta, verificação e segurança</w:t>
      </w:r>
    </w:p>
    <w:p>
      <w:pPr>
        <w:spacing w:after="120"/>
        <w:jc w:val="both"/>
      </w:pPr>
      <w:r>
        <w:t xml:space="preserve">6.1. O Usuário deve fornecer informações verdadeiras, completas e atualizadas, incluindo nome, e-mail, telefone, país e documento de identificação usual do país (por exemplo, CPF no Brasil, DNI na Argentina, CURP/INE no México). Pessoas jurídicas informam sua identificação fiscal (por exemplo, CNPJ, RUC, EIN, NIF).</w:t>
      </w:r>
    </w:p>
    <w:p>
      <w:pPr>
        <w:spacing w:after="120"/>
        <w:jc w:val="both"/>
      </w:pPr>
      <w:r>
        <w:t xml:space="preserve">6.2. A Operadora pode, a qualquer tempo, exigir verificação de identidade, de registro profissional, de titularidade do Espaço, de licenças e de dados bancários, diretamente ou por meio de prestadores especializados, e condicionar funcionalidades a essa verificação.</w:t>
      </w:r>
    </w:p>
    <w:p>
      <w:pPr>
        <w:spacing w:after="120"/>
        <w:jc w:val="both"/>
      </w:pPr>
      <w:r>
        <w:t xml:space="preserve">6.3. A conta é pessoal e intransferível. O Usuário é responsável por manter a confidencialidade de sua senha e por todas as atividades realizadas com suas credenciais, devendo comunicar imediatamente qualquer uso não autorizado pelo canal support@space-hour.com.</w:t>
      </w:r>
    </w:p>
    <w:p>
      <w:pPr>
        <w:spacing w:after="120"/>
        <w:jc w:val="both"/>
      </w:pPr>
      <w:r>
        <w:t xml:space="preserve">6.4. A Plataforma exibe, no perfil público, apenas nome, país, data de cadastro, biografia, indicação de identidade verificada, indicação de registro profissional verificado e reputação (avaliações).</w:t>
      </w:r>
    </w:p>
    <w:p>
      <w:pPr>
        <w:spacing w:after="120"/>
        <w:jc w:val="both"/>
      </w:pPr>
      <w:r>
        <w:t xml:space="preserve">6.5. </w:t>
      </w:r>
      <w:r>
        <w:rPr>
          <w:b/>
          <w:bCs/>
        </w:rPr>
        <w:t xml:space="preserve">Pré-triagem automatizada do registro profissional.</w:t>
      </w:r>
      <w:r>
        <w:t xml:space="preserve"> A Plataforma realiza uma pré-triagem automatizada, com apoio de agente de inteligência artificial, do documento e do número de registro profissional enviados pelo Locatário. A pré-triagem verifica a legibilidade e a aparente autenticidade do documento, a coerência do número com o nome do Locatário e com o órgão regulador competente do país e da atividade, podendo a Plataforma solicitar documentos adicionais ou submeter o caso a revisão humana. O resultado da pré-triagem não gera, por si só, recusa definitiva: o Usuário pode pedir revisão humana (Política de Privacidade).</w:t>
      </w:r>
    </w:p>
    <w:p>
      <w:pPr>
        <w:spacing w:after="120"/>
        <w:jc w:val="both"/>
      </w:pPr>
      <w:r>
        <w:t xml:space="preserve">6.6. </w:t>
      </w:r>
      <w:r>
        <w:rPr>
          <w:b/>
          <w:bCs/>
        </w:rPr>
        <w:t xml:space="preserve">A pré-triagem não é garantia.</w:t>
      </w:r>
      <w:r>
        <w:t xml:space="preserve"> A indicação "registro profissional verificado" significa apenas que o documento passou pela pré-triagem na data indicada. Ela </w:t>
      </w:r>
      <w:r>
        <w:rPr>
          <w:b/>
          <w:bCs/>
        </w:rPr>
        <w:t xml:space="preserve">não garante</w:t>
      </w:r>
      <w:r>
        <w:t xml:space="preserve"> que o registro esteja válido, ativo, sem suspensão ou restrição, nem que abranja a atividade declarada, pois o status pode mudar a qualquer tempo e a Plataforma não tem acesso em tempo real às bases de todos os órgãos reguladores. Por isso, </w:t>
      </w:r>
      <w:r>
        <w:rPr>
          <w:b/>
          <w:bCs/>
        </w:rPr>
        <w:t xml:space="preserve">o Anfitrião deve confirmar, antes de cada Reserva de Espaço regulado</w:t>
      </w:r>
      <w:r>
        <w:t xml:space="preserve"> (saúde, advocacia e outras atividades regulamentadas), que o Locatário possui habilitação válida e ativa para a atividade, e deve recusar ou cancelar a Reserva, </w:t>
      </w:r>
      <w:r>
        <w:rPr>
          <w:b/>
          <w:bCs/>
        </w:rPr>
        <w:t xml:space="preserve">sem penalidade</w:t>
      </w:r>
      <w:r>
        <w:t xml:space="preserve">, em caso de dúvida fundada (Obrigações do Anfitrião, cláusula 3).</w:t>
      </w:r>
    </w:p>
    <w:p>
      <w:pPr>
        <w:spacing w:after="120"/>
        <w:jc w:val="both"/>
      </w:pPr>
      <w:r>
        <w:t xml:space="preserve">6.7. </w:t>
      </w:r>
      <w:r>
        <w:rPr>
          <w:b/>
          <w:bCs/>
        </w:rPr>
        <w:t xml:space="preserve">Responsabilidade pelo exercício ilegal de profissão.</w:t>
      </w:r>
      <w:r>
        <w:t xml:space="preserve"> O Locatário é </w:t>
      </w:r>
      <w:r>
        <w:rPr>
          <w:b/>
          <w:bCs/>
        </w:rPr>
        <w:t xml:space="preserve">integral e exclusivamente responsável</w:t>
      </w:r>
      <w:r>
        <w:t xml:space="preserve">, civil, administrativa e penalmente, pelo exercício de profissão regulamentada sem habilitação legal ou fora de seus limites (no Brasil, por exemplo, Código Penal, art. 282 — exercício ilegal da medicina ou da arte dentária — e Lei das Contravenções Penais, art. 47 — exercício ilegal de profissão; nos demais países, as normas equivalentes indicadas em Regras por País), e indenizará o Anfitrião, a Operadora e terceiros pelos prejuízos daí decorrentes. Constatado o fato, a Plataforma </w:t>
      </w:r>
      <w:r>
        <w:rPr>
          <w:b/>
          <w:bCs/>
        </w:rPr>
        <w:t xml:space="preserve">exclui definitivamente</w:t>
      </w:r>
      <w:r>
        <w:t xml:space="preserve"> a conta do Locatário e </w:t>
      </w:r>
      <w:r>
        <w:rPr>
          <w:b/>
          <w:bCs/>
        </w:rPr>
        <w:t xml:space="preserve">comunica o fato às autoridades</w:t>
      </w:r>
      <w:r>
        <w:t xml:space="preserve"> e ao órgão profissional competentes. O Anfitrião que, conscientemente, permitir esse uso também perde sua conta (Penalidades e Medidas).</w:t>
      </w:r>
    </w:p>
    <w:p>
      <w:pPr>
        <w:pStyle w:val="Heading2"/>
      </w:pPr>
      <w:r>
        <w:t xml:space="preserve">7. Anúncios e Reservas</w:t>
      </w:r>
    </w:p>
    <w:p>
      <w:pPr>
        <w:spacing w:after="120"/>
        <w:jc w:val="both"/>
      </w:pPr>
      <w:r>
        <w:t xml:space="preserve">7.1. O Anfitrião é o único responsável pelo conteúdo do Anúncio, que deve ser preciso e atualizado (documento Obrigações do Anfitrião). As fotos do Anúncio são enviadas pelo Anfitrião e devem ser reais, fiéis, recentes e do próprio Espaço, de titularidade do Anfitrião ou por ele licenciadas, e não podem mostrar pessoas, pacientes ou documentos identificáveis.</w:t>
      </w:r>
    </w:p>
    <w:p>
      <w:pPr>
        <w:spacing w:after="120"/>
        <w:jc w:val="both"/>
      </w:pPr>
      <w:r>
        <w:t xml:space="preserve">7.2. A Reserva pode ser </w:t>
      </w:r>
      <w:r>
        <w:rPr>
          <w:b/>
          <w:bCs/>
        </w:rPr>
        <w:t xml:space="preserve">instantânea</w:t>
      </w:r>
      <w:r>
        <w:t xml:space="preserve"> (confirmada no ato do pagamento) ou </w:t>
      </w:r>
      <w:r>
        <w:rPr>
          <w:b/>
          <w:bCs/>
        </w:rPr>
        <w:t xml:space="preserve">por solicitação</w:t>
      </w:r>
      <w:r>
        <w:t xml:space="preserve"> (sujeita à aprovação do Anfitrião em até 24 horas, sob pena de expiração automática), conforme definido no Anúncio.</w:t>
      </w:r>
    </w:p>
    <w:p>
      <w:pPr>
        <w:spacing w:after="120"/>
        <w:jc w:val="both"/>
      </w:pPr>
      <w:r>
        <w:t xml:space="preserve">7.3. Quando o Anúncio exigir Avalista, a Reserva permanece pendente até o aceite do Avalista, que dispõe de 48 horas para responder.</w:t>
      </w:r>
    </w:p>
    <w:p>
      <w:pPr>
        <w:spacing w:after="120"/>
        <w:jc w:val="both"/>
      </w:pPr>
      <w:r>
        <w:t xml:space="preserve">7.4. A Reserva é celebrada diretamente entre Anfitrião e Locatário no momento da confirmação e passa a ser regida pelas condições do Anúncio vigentes na data da solicitação, por estes Termos e pelos documentos anexos.</w:t>
      </w:r>
    </w:p>
    <w:p>
      <w:pPr>
        <w:pStyle w:val="Heading2"/>
      </w:pPr>
      <w:r>
        <w:t xml:space="preserve">8. Proibição de contornar a Plataforma</w:t>
      </w:r>
    </w:p>
    <w:p>
      <w:pPr>
        <w:spacing w:after="120"/>
        <w:jc w:val="both"/>
      </w:pPr>
      <w:r>
        <w:t xml:space="preserve">8.1. É proibido ao Anfitrião e ao Locatário, em relação a contatos iniciados pela Plataforma: (a) solicitar, oferecer ou aceitar pagamento fora da Plataforma; (b) combinar Reservas diretamente para evitar a Taxa de Serviço; (c) trocar dados de contato antes da confirmação da Reserva com esse propósito; (d) usar a Plataforma apenas para captar contrapartes.</w:t>
      </w:r>
    </w:p>
    <w:p>
      <w:pPr>
        <w:spacing w:after="120"/>
        <w:jc w:val="both"/>
      </w:pPr>
      <w:r>
        <w:t xml:space="preserve">8.2. Pagamentos realizados fora da Plataforma não contam com Caução, reembolso, Central de Resolução, seguro ou qualquer proteção da Plataforma.</w:t>
      </w:r>
    </w:p>
    <w:p>
      <w:pPr>
        <w:spacing w:after="120"/>
        <w:jc w:val="both"/>
      </w:pPr>
      <w:r>
        <w:t xml:space="preserve">8.3. A violação desta cláusula é falta grave e pode levar à exclusão imediata da conta de todos os envolvidos, além das medidas previstas no documento Penalidades e Medidas. Mensagens podem ser analisadas automaticamente para identificar tentativas de contorno e proteger os Usuários contra fraudes.</w:t>
      </w:r>
    </w:p>
    <w:p>
      <w:pPr>
        <w:pStyle w:val="Heading2"/>
      </w:pPr>
      <w:r>
        <w:t xml:space="preserve">9. Conduta geral</w:t>
      </w:r>
    </w:p>
    <w:p>
      <w:pPr>
        <w:spacing w:after="120"/>
        <w:jc w:val="both"/>
      </w:pPr>
      <w:r>
        <w:t xml:space="preserve">9.1. É vedado utilizar a Plataforma para: atividades ilícitas; fraude; lavagem de dinheiro; discriminação por raça, cor, etnia, origem, nacionalidade, religião, deficiência, sexo, orientação sexual, identidade de gênero, idade, estado civil ou qualquer outra característica protegida; assédio; publicação de conteúdo falso, ofensivo ou que viole direitos de terceiros; coleta automatizada de dados (</w:t>
      </w:r>
      <w:r>
        <w:rPr>
          <w:i/>
          <w:iCs/>
        </w:rPr>
        <w:t xml:space="preserve">scraping</w:t>
      </w:r>
      <w:r>
        <w:t xml:space="preserve">); engenharia reversa; interferência no funcionamento da Plataforma.</w:t>
      </w:r>
    </w:p>
    <w:p>
      <w:pPr>
        <w:spacing w:after="120"/>
        <w:jc w:val="both"/>
      </w:pPr>
      <w:r>
        <w:t xml:space="preserve">9.2. O uso dos Espaços observa as Normas de Conduta e Respeito aos Espaços e as normas internas de cada Anúncio.</w:t>
      </w:r>
    </w:p>
    <w:p>
      <w:pPr>
        <w:pStyle w:val="Heading2"/>
      </w:pPr>
      <w:r>
        <w:t xml:space="preserve">10. Taxas e pagamentos</w:t>
      </w:r>
    </w:p>
    <w:p>
      <w:pPr>
        <w:spacing w:after="120"/>
        <w:jc w:val="both"/>
      </w:pPr>
      <w:r>
        <w:t xml:space="preserve">10.1. Os preços são fixados pelo Anfitrião na moeda do país do Espaço. Ao preço somam-se a Taxa de Limpeza, a Taxa de Serviço do Locatário (15%) e o tributo incidente sobre a Taxa de Serviço conforme o país. Do repasse ao Anfitrião é descontada a Taxa de Serviço do Anfitrião (5%). O detalhamento consta do documento Pagamentos Internacionais e é exibido antes da confirmação.</w:t>
      </w:r>
    </w:p>
    <w:p>
      <w:pPr>
        <w:spacing w:after="120"/>
        <w:jc w:val="both"/>
      </w:pPr>
      <w:r>
        <w:t xml:space="preserve">10.2. Não há cobrança de valores ocultos. Encargos de conversão cambial ou IOF eventualmente cobrados pelo emissor do meio de pagamento do Locatário não são controlados pela Operadora.</w:t>
      </w:r>
    </w:p>
    <w:p>
      <w:pPr>
        <w:pStyle w:val="Heading2"/>
      </w:pPr>
      <w:r>
        <w:t xml:space="preserve">11. Propriedade intelectual</w:t>
      </w:r>
    </w:p>
    <w:p>
      <w:pPr>
        <w:spacing w:after="120"/>
        <w:jc w:val="both"/>
      </w:pPr>
      <w:r>
        <w:t xml:space="preserve">11.1. A marca SpaceHour, logotipos, software, layout, textos, bases de dados e demais elementos da Plataforma pertencem à Operadora ou a seus licenciantes e são protegidos pela legislação de propriedade intelectual. Nenhum direito é transferido ao Usuário, salvo licença limitada, revogável, não exclusiva e intransferível de uso da Plataforma conforme estes Termos.</w:t>
      </w:r>
    </w:p>
    <w:p>
      <w:pPr>
        <w:spacing w:after="120"/>
        <w:jc w:val="both"/>
      </w:pPr>
      <w:r>
        <w:t xml:space="preserve">11.2. O Usuário conserva a titularidade do conteúdo que publica (fotos, textos, avaliações) e concede à Operadora licença mundial, gratuita, não exclusiva, sublicenciável a prestadores e pelo prazo de proteção, para hospedar, reproduzir, adaptar (inclusive traduzir), exibir e divulgar esse conteúdo na Plataforma e em materiais de divulgação da Plataforma.</w:t>
      </w:r>
    </w:p>
    <w:p>
      <w:pPr>
        <w:spacing w:after="120"/>
        <w:jc w:val="both"/>
      </w:pPr>
      <w:r>
        <w:t xml:space="preserve">11.3. O Usuário declara possuir os direitos necessários sobre o conteúdo publicado, inclusive o consentimento de pessoas retratadas, e responde por violações a direitos de terceiros.</w:t>
      </w:r>
    </w:p>
    <w:p>
      <w:pPr>
        <w:pStyle w:val="Heading2"/>
      </w:pPr>
      <w:r>
        <w:t xml:space="preserve">12. Limitação de responsabilidade</w:t>
      </w:r>
    </w:p>
    <w:p>
      <w:pPr>
        <w:spacing w:after="120"/>
        <w:jc w:val="both"/>
      </w:pPr>
      <w:r>
        <w:t xml:space="preserve">12.1. Na máxima extensão permitida pela lei aplicável, a Operadora não responde: (a) pela qualidade, segurança, legalidade ou adequação dos Espaços; (b) pelos atos, omissões ou serviços profissionais de Anfitriões e Locatários; (c) por danos sofridos por Clientes Finais em decorrência dos serviços do Locatário; (d) por lucros cessantes, perda de chance ou danos indiretos; (e) por indisponibilidades temporárias da Plataforma decorrentes de manutenção, caso fortuito ou força maior.</w:t>
      </w:r>
    </w:p>
    <w:p>
      <w:pPr>
        <w:spacing w:after="120"/>
        <w:jc w:val="both"/>
      </w:pPr>
      <w:r>
        <w:t xml:space="preserve">12.2. Fora das relações de consumo e ressalvados dolo, culpa grave e hipóteses em que a lei vede limitação, a responsabilidade total da Operadora perante um Usuário fica limitada ao montante das Taxas de Serviço efetivamente recebidas pela Operadora daquele Usuário nos 12 meses anteriores ao fato.</w:t>
      </w:r>
    </w:p>
    <w:p>
      <w:pPr>
        <w:spacing w:after="120"/>
        <w:jc w:val="both"/>
      </w:pPr>
      <w:r>
        <w:t xml:space="preserve">12.3. Nada nestes Termos exclui ou limita responsabilidade que não possa ser excluída ou limitada por lei, como a responsabilidade por morte ou lesão corporal decorrente de negligência (quando aplicável), por fraude, ou os direitos irrenunciáveis do consumidor previstos no Código de Defesa do Consumidor (Brasil), no Australian Consumer Law, no Consumer Rights Act 2015 (Reino Unido), na legislação da União Europeia e demais leis indicadas no documento Regras por País.</w:t>
      </w:r>
    </w:p>
    <w:p>
      <w:pPr>
        <w:spacing w:after="120"/>
        <w:jc w:val="both"/>
      </w:pPr>
      <w:r>
        <w:t xml:space="preserve">12.4. Anfitrião e Locatário se obrigam a indenizar a Operadora por reclamações de terceiros decorrentes do descumprimento destes Termos ou da lei por eles próprios.</w:t>
      </w:r>
    </w:p>
    <w:p>
      <w:pPr>
        <w:pStyle w:val="Heading2"/>
      </w:pPr>
      <w:r>
        <w:t xml:space="preserve">13. Suspensão, encerramento e exclusão</w:t>
      </w:r>
    </w:p>
    <w:p>
      <w:pPr>
        <w:spacing w:after="120"/>
        <w:jc w:val="both"/>
      </w:pPr>
      <w:r>
        <w:t xml:space="preserve">13.1. O Usuário pode encerrar sua conta a qualquer tempo, desde que não haja Reservas futuras confirmadas, valores pendentes ou Incidentes em aberto.</w:t>
      </w:r>
    </w:p>
    <w:p>
      <w:pPr>
        <w:spacing w:after="120"/>
        <w:jc w:val="both"/>
      </w:pPr>
      <w:r>
        <w:t xml:space="preserve">13.2. A Operadora pode suspender ou excluir contas nas hipóteses do documento Penalidades e Medidas, mediante comunicação fundamentada, salvo quando a comunicação prévia comprometer investigação, a segurança de pessoas ou o cumprimento de ordem legal. O Usuário pode apresentar recurso conforme o documento Central de Resolução e Disputas.</w:t>
      </w:r>
    </w:p>
    <w:p>
      <w:pPr>
        <w:spacing w:after="120"/>
        <w:jc w:val="both"/>
      </w:pPr>
      <w:r>
        <w:t xml:space="preserve">13.3. O encerramento não afeta obrigações já constituídas, inclusive pagamentos, penalidades e responsabilidade por danos.</w:t>
      </w:r>
    </w:p>
    <w:p>
      <w:pPr>
        <w:pStyle w:val="Heading2"/>
      </w:pPr>
      <w:r>
        <w:t xml:space="preserve">14. Alterações</w:t>
      </w:r>
    </w:p>
    <w:p>
      <w:pPr>
        <w:spacing w:after="120"/>
        <w:jc w:val="both"/>
      </w:pPr>
      <w:r>
        <w:t xml:space="preserve">14.1. A Operadora pode alterar estes Termos e os documentos anexos para refletir mudanças legais, regulatórias, operacionais ou de segurança. Alterações relevantes serão comunicadas por e-mail e na Plataforma com antecedência mínima de 30 dias, salvo quando exigida vigência imediata por lei ou para prevenir fraude.</w:t>
      </w:r>
    </w:p>
    <w:p>
      <w:pPr>
        <w:spacing w:after="120"/>
        <w:jc w:val="both"/>
      </w:pPr>
      <w:r>
        <w:t xml:space="preserve">14.2. As Reservas já confirmadas continuam regidas pela versão vigente na data de sua confirmação, inclusive quanto à política de cancelamento, taxas e limites.</w:t>
      </w:r>
    </w:p>
    <w:p>
      <w:pPr>
        <w:spacing w:after="120"/>
        <w:jc w:val="both"/>
      </w:pPr>
      <w:r>
        <w:t xml:space="preserve">14.3. O uso continuado após a vigência importa aceitação. O Usuário que não concordar pode encerrar a conta sem ônus.</w:t>
      </w:r>
    </w:p>
    <w:p>
      <w:pPr>
        <w:pStyle w:val="Heading2"/>
      </w:pPr>
      <w:r>
        <w:t xml:space="preserve">15. Comunicações</w:t>
      </w:r>
    </w:p>
    <w:p>
      <w:pPr>
        <w:spacing w:after="120"/>
        <w:jc w:val="both"/>
      </w:pPr>
      <w:r>
        <w:t xml:space="preserve">15.1. As comunicações serão enviadas ao e-mail cadastrado e/ou pelas notificações da Plataforma e serão consideradas recebidas no momento do envio, salvo prova em contrário. As mensagens entre Anfitrião e Locatário devem ocorrer pelo sistema de mensagens da Plataforma, que serve como prova em disputas.</w:t>
      </w:r>
    </w:p>
    <w:p>
      <w:pPr>
        <w:pStyle w:val="Heading2"/>
      </w:pPr>
      <w:r>
        <w:t xml:space="preserve">16. Lei aplicável e foro</w:t>
      </w:r>
    </w:p>
    <w:p>
      <w:pPr>
        <w:spacing w:after="120"/>
        <w:jc w:val="both"/>
      </w:pPr>
      <w:r>
        <w:t xml:space="preserve">16.1. Estes Termos são regidos pelas leis da República Federativa do Brasil quanto à relação entre a Operadora e o Usuário, </w:t>
      </w:r>
      <w:r>
        <w:rPr>
          <w:b/>
          <w:bCs/>
        </w:rPr>
        <w:t xml:space="preserve">sem prejuízo das normas imperativas do país de residência habitual do Usuário consumidor</w:t>
      </w:r>
      <w:r>
        <w:t xml:space="preserve">, que prevalecerão quando mais protetivas.</w:t>
      </w:r>
    </w:p>
    <w:p>
      <w:pPr>
        <w:spacing w:after="120"/>
        <w:jc w:val="both"/>
      </w:pPr>
      <w:r>
        <w:t xml:space="preserve">16.2. A Reserva, enquanto relação entre Anfitrião e Locatário, rege-se pela lei do país onde o Espaço está localizado, observadas as normas imperativas de proteção ao consumidor do país de residência do Locatário, quando aplicáveis.</w:t>
      </w:r>
    </w:p>
    <w:p>
      <w:pPr>
        <w:spacing w:after="120"/>
        <w:jc w:val="both"/>
      </w:pPr>
      <w:r>
        <w:t xml:space="preserve">16.3. Fica eleito o foro da comarca de Maringá/PR para dirimir controvérsias entre a Operadora e Usuários que não sejam consumidores. </w:t>
      </w:r>
      <w:r>
        <w:rPr>
          <w:b/>
          <w:bCs/>
        </w:rPr>
        <w:t xml:space="preserve">O Usuário consumidor pode sempre propor ação no foro de seu domicílio</w:t>
      </w:r>
      <w:r>
        <w:t xml:space="preserve">, nos termos do art. 101, I, do Código de Defesa do Consumidor e das normas equivalentes de seu país.</w:t>
      </w:r>
    </w:p>
    <w:p>
      <w:pPr>
        <w:spacing w:after="120"/>
        <w:jc w:val="both"/>
      </w:pPr>
      <w:r>
        <w:t xml:space="preserve">16.4. Antes de medida judicial, as partes são incentivadas a utilizar a Central de Resolução e Disputas e, quando cabível, os canais oficiais de consumidor (por exemplo, consumidor.gov.br). A arbitragem somente se aplica quando livremente pactuada em instrumento separado e quando admitida pela lei aplicável, nunca sendo imposta ao consumidor.</w:t>
      </w:r>
    </w:p>
    <w:p>
      <w:pPr>
        <w:pStyle w:val="Heading2"/>
      </w:pPr>
      <w:r>
        <w:t xml:space="preserve">17. Disposições gerais</w:t>
      </w:r>
    </w:p>
    <w:p>
      <w:pPr>
        <w:spacing w:after="120"/>
        <w:jc w:val="both"/>
      </w:pPr>
      <w:r>
        <w:t xml:space="preserve">17.1. A tolerância quanto ao descumprimento de qualquer cláusula não implica renúncia ou novação.</w:t>
      </w:r>
    </w:p>
    <w:p>
      <w:pPr>
        <w:spacing w:after="120"/>
        <w:jc w:val="both"/>
      </w:pPr>
      <w:r>
        <w:t xml:space="preserve">17.2. A nulidade de uma cláusula não afeta as demais, que permanecem válidas.</w:t>
      </w:r>
    </w:p>
    <w:p>
      <w:pPr>
        <w:spacing w:after="120"/>
        <w:jc w:val="both"/>
      </w:pPr>
      <w:r>
        <w:t xml:space="preserve">17.3. O Usuário não pode ceder seus direitos e obrigações sem consentimento prévio da Operadora. A Operadora pode ceder sua posição contratual a empresa do mesmo grupo ou sucessora, mediante comunicação.</w:t>
      </w:r>
    </w:p>
    <w:p>
      <w:pPr>
        <w:spacing w:after="120"/>
        <w:jc w:val="both"/>
      </w:pPr>
      <w:r>
        <w:t xml:space="preserve">17.4. A Plataforma pode disponibilizar estes Termos em vários idiomas. Em caso de divergência, prevalece a versão no idioma oficial do país do Usuário quando a lei local assim exigir (por exemplo, francês no Québec, pela Charte de la langue française, e na França, pela Loi 94-665 — Loi Toubon; espanhol no México e na Espanha; italiano na Itália; hebraico em Israel; e árabe nos Emirados Árabes Unidos, quando exigido); nos demais casos, prevalece esta versão em português.</w:t>
      </w:r>
    </w:p>
    <w:p>
      <w:pPr>
        <w:pStyle w:val="Heading2"/>
      </w:pPr>
      <w:r>
        <w:t xml:space="preserve">18. Contato</w:t>
      </w:r>
    </w:p>
    <w:p>
      <w:pPr>
        <w:spacing w:after="120"/>
        <w:jc w:val="both"/>
      </w:pPr>
      <w:r>
        <w:t xml:space="preserve">18.1. </w:t>
      </w:r>
      <w:r>
        <w:rPr>
          <w:b/>
          <w:bCs/>
        </w:rPr>
        <w:t xml:space="preserve">Instituto Ravel de Ensino Superior Ltda.</w:t>
      </w:r>
      <w:r>
        <w:t xml:space="preserve"> — CNPJ </w:t>
      </w:r>
      <w:r>
        <w:rPr>
          <w:b/>
          <w:bCs/>
        </w:rPr>
        <w:t xml:space="preserve">03.162.275/0001-10</w:t>
      </w:r>
      <w:r>
        <w:t xml:space="preserve"> — </w:t>
      </w:r>
      <w:r>
        <w:rPr>
          <w:b/>
          <w:bCs/>
        </w:rPr>
        <w:t xml:space="preserve">Av. XV de Novembro, 255, Maringá/PR, CEP 87013-230, Brasil</w:t>
      </w:r>
      <w:r>
        <w:t xml:space="preserve">. 18.2. Atendimento e notificações: </w:t>
      </w:r>
      <w:r>
        <w:rPr>
          <w:b/>
          <w:bCs/>
        </w:rPr>
        <w:t xml:space="preserve">support@space-hour.com</w:t>
      </w:r>
      <w:r>
        <w:t xml:space="preserve">. 18.3. Encarregado pelo tratamento de dados pessoais: </w:t>
      </w:r>
      <w:r>
        <w:rPr>
          <w:b/>
          <w:bCs/>
        </w:rPr>
        <w:t xml:space="preserve">Robson Ravel de Oliveira — info@wmundi.com</w:t>
      </w:r>
      <w:r>
        <w:t xml:space="preserve">.</w:t>
      </w:r>
    </w:p>
    <w:p>
      <w:r>
        <w:br w:type="page"/>
      </w:r>
    </w:p>
    <w:p>
      <w:pPr>
        <w:pStyle w:val="Heading1"/>
      </w:pPr>
      <w:r>
        <w:t xml:space="preserve">Regras de Reserva e Uso</w:t>
      </w:r>
    </w:p>
    <w:p>
      <w:pPr>
        <w:spacing w:after="120"/>
        <w:jc w:val="both"/>
      </w:pPr>
      <w:r>
        <w:t xml:space="preserve">Versão 2026-09-25 · Vigência a partir de 25/09/2026</w:t>
      </w:r>
    </w:p>
    <w:p>
      <w:pPr>
        <w:pStyle w:val="Heading2"/>
      </w:pPr>
      <w:r>
        <w:t xml:space="preserve">1. Objeto e finalidade</w:t>
      </w:r>
    </w:p>
    <w:p>
      <w:pPr>
        <w:spacing w:after="120"/>
        <w:jc w:val="both"/>
      </w:pPr>
      <w:r>
        <w:t xml:space="preserve">1.1. Este documento integra os Termos de Uso e disciplina como as Reservas são feitas, confirmadas e utilizadas na Plataforma. Os termos com inicial maiúscula têm o significado dado nos Termos de Uso.</w:t>
      </w:r>
    </w:p>
    <w:p>
      <w:pPr>
        <w:spacing w:after="120"/>
        <w:jc w:val="both"/>
      </w:pPr>
      <w:r>
        <w:t xml:space="preserve">1.2. A Plataforma existe para permitir o </w:t>
      </w:r>
      <w:r>
        <w:rPr>
          <w:b/>
          <w:bCs/>
        </w:rPr>
        <w:t xml:space="preserve">uso compartilhado, por hora, turno ou dia, de Espaços prontos em seus horários ociosos</w:t>
      </w:r>
      <w:r>
        <w:t xml:space="preserve">. Ela não é um meio para contratar ocupação contínua, locação de longo prazo, domicílio empresarial ou moradia.</w:t>
      </w:r>
    </w:p>
    <w:p>
      <w:pPr>
        <w:spacing w:after="120"/>
        <w:jc w:val="both"/>
      </w:pPr>
      <w:r>
        <w:t xml:space="preserve">1.3. Os limites deste documento são aplicados automaticamente pelo sistema no momento da Reserva e </w:t>
      </w:r>
      <w:r>
        <w:rPr>
          <w:b/>
          <w:bCs/>
        </w:rPr>
        <w:t xml:space="preserve">não podem ser afastados por acordo entre Anfitrião e Locatário</w:t>
      </w:r>
      <w:r>
        <w:t xml:space="preserve">. Eles existem para: (a) preservar a natureza de licença de uso temporário de espaço equipado, afastando a caracterização de locação e a aquisição de ponto comercial ou direito à renovação (no Brasil, Lei nº 8.245/1991, e normas equivalentes em outros países); (b) garantir rotatividade e acesso de diversos profissionais aos Espaços; (c) proteger o Anfitrião contra alegações de posse ou ocupação permanente.</w:t>
      </w:r>
    </w:p>
    <w:p>
      <w:pPr>
        <w:pStyle w:val="Heading2"/>
      </w:pPr>
      <w:r>
        <w:t xml:space="preserve">2. Limites de horário e duração</w:t>
      </w:r>
    </w:p>
    <w:p>
      <w:pPr>
        <w:spacing w:after="120"/>
        <w:jc w:val="both"/>
      </w:pPr>
      <w:r>
        <w:t xml:space="preserve">2.1. Os seguintes limites se aplicam a toda Reserva: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6F2F1" w:color="auto" w:val="clear"/>
            <w:tcMar>
              <w:top w:type="dxa" w:w="60"/>
              <w:left w:type="dxa" w:w="100"/>
              <w:bottom w:type="dxa" w:w="60"/>
              <w:right w:type="dxa" w:w="100"/>
            </w:tcMar>
          </w:tcPr>
          <w:p>
            <w:r>
              <w:rPr>
                <w:b/>
                <w:bCs/>
                <w:sz w:val="19"/>
                <w:szCs w:val="19"/>
              </w:rPr>
              <w:t xml:space="preserve">Parâmetro</w:t>
            </w:r>
          </w:p>
        </w:tc>
        <w:tc>
          <w:tcPr>
            <w:tcW w:type="dxa" w:w="4819"/>
            <w:shd w:fill="E6F2F1" w:color="auto" w:val="clear"/>
            <w:tcMar>
              <w:top w:type="dxa" w:w="60"/>
              <w:left w:type="dxa" w:w="100"/>
              <w:bottom w:type="dxa" w:w="60"/>
              <w:right w:type="dxa" w:w="100"/>
            </w:tcMar>
          </w:tcPr>
          <w:p>
            <w:r>
              <w:rPr>
                <w:b/>
                <w:bCs/>
                <w:sz w:val="19"/>
                <w:szCs w:val="19"/>
              </w:rPr>
              <w:t xml:space="preserve">Regra</w:t>
            </w:r>
          </w:p>
        </w:tc>
      </w:tr>
      <w:tr>
        <w:trPr>
          <w:tblHeader w:val="off"/>
        </w:trPr>
        <w:tc>
          <w:tcPr>
            <w:tcW w:type="dxa" w:w="4819"/>
            <w:tcMar>
              <w:top w:type="dxa" w:w="60"/>
              <w:left w:type="dxa" w:w="100"/>
              <w:bottom w:type="dxa" w:w="60"/>
              <w:right w:type="dxa" w:w="100"/>
            </w:tcMar>
          </w:tcPr>
          <w:p>
            <w:r>
              <w:rPr>
                <w:sz w:val="19"/>
                <w:szCs w:val="19"/>
              </w:rPr>
              <w:t xml:space="preserve">Granularidade dos horários</w:t>
            </w:r>
          </w:p>
        </w:tc>
        <w:tc>
          <w:tcPr>
            <w:tcW w:type="dxa" w:w="4819"/>
            <w:tcMar>
              <w:top w:type="dxa" w:w="60"/>
              <w:left w:type="dxa" w:w="100"/>
              <w:bottom w:type="dxa" w:w="60"/>
              <w:right w:type="dxa" w:w="100"/>
            </w:tcMar>
          </w:tcPr>
          <w:p>
            <w:r>
              <w:rPr>
                <w:sz w:val="19"/>
                <w:szCs w:val="19"/>
              </w:rPr>
              <w:t xml:space="preserve">Início e término em múltiplos de </w:t>
            </w:r>
            <w:r>
              <w:rPr>
                <w:b/>
                <w:bCs/>
                <w:sz w:val="19"/>
                <w:szCs w:val="19"/>
              </w:rPr>
              <w:t xml:space="preserve">30 minutos</w:t>
            </w:r>
            <w:r>
              <w:rPr>
                <w:sz w:val="19"/>
                <w:szCs w:val="19"/>
              </w:rPr>
              <w:t xml:space="preserve"> (ex.: 08:00, 08:30, 09:00)</w:t>
            </w:r>
          </w:p>
        </w:tc>
      </w:tr>
      <w:tr>
        <w:trPr>
          <w:tblHeader w:val="off"/>
        </w:trPr>
        <w:tc>
          <w:tcPr>
            <w:tcW w:type="dxa" w:w="4819"/>
            <w:tcMar>
              <w:top w:type="dxa" w:w="60"/>
              <w:left w:type="dxa" w:w="100"/>
              <w:bottom w:type="dxa" w:w="60"/>
              <w:right w:type="dxa" w:w="100"/>
            </w:tcMar>
          </w:tcPr>
          <w:p>
            <w:r>
              <w:rPr>
                <w:sz w:val="19"/>
                <w:szCs w:val="19"/>
              </w:rPr>
              <w:t xml:space="preserve">Duração mínima por Ocorrência</w:t>
            </w:r>
          </w:p>
        </w:tc>
        <w:tc>
          <w:tcPr>
            <w:tcW w:type="dxa" w:w="4819"/>
            <w:tcMar>
              <w:top w:type="dxa" w:w="60"/>
              <w:left w:type="dxa" w:w="100"/>
              <w:bottom w:type="dxa" w:w="60"/>
              <w:right w:type="dxa" w:w="100"/>
            </w:tcMar>
          </w:tcPr>
          <w:p>
            <w:r>
              <w:rPr>
                <w:b/>
                <w:bCs/>
                <w:sz w:val="19"/>
                <w:szCs w:val="19"/>
              </w:rPr>
              <w:t xml:space="preserve">1 hora</w:t>
            </w:r>
            <w:r>
              <w:rPr>
                <w:sz w:val="19"/>
                <w:szCs w:val="19"/>
              </w:rPr>
              <w:t xml:space="preserve">, ou o mínimo maior fixado pelo Anfitrião no Anúncio</w:t>
            </w:r>
          </w:p>
        </w:tc>
      </w:tr>
      <w:tr>
        <w:trPr>
          <w:tblHeader w:val="off"/>
        </w:trPr>
        <w:tc>
          <w:tcPr>
            <w:tcW w:type="dxa" w:w="4819"/>
            <w:tcMar>
              <w:top w:type="dxa" w:w="60"/>
              <w:left w:type="dxa" w:w="100"/>
              <w:bottom w:type="dxa" w:w="60"/>
              <w:right w:type="dxa" w:w="100"/>
            </w:tcMar>
          </w:tcPr>
          <w:p>
            <w:r>
              <w:rPr>
                <w:sz w:val="19"/>
                <w:szCs w:val="19"/>
              </w:rPr>
              <w:t xml:space="preserve">Duração máxima por Ocorrência</w:t>
            </w:r>
          </w:p>
        </w:tc>
        <w:tc>
          <w:tcPr>
            <w:tcW w:type="dxa" w:w="4819"/>
            <w:tcMar>
              <w:top w:type="dxa" w:w="60"/>
              <w:left w:type="dxa" w:w="100"/>
              <w:bottom w:type="dxa" w:w="60"/>
              <w:right w:type="dxa" w:w="100"/>
            </w:tcMar>
          </w:tcPr>
          <w:p>
            <w:r>
              <w:rPr>
                <w:b/>
                <w:bCs/>
                <w:sz w:val="19"/>
                <w:szCs w:val="19"/>
              </w:rPr>
              <w:t xml:space="preserve">12 horas</w:t>
            </w:r>
          </w:p>
        </w:tc>
      </w:tr>
      <w:tr>
        <w:trPr>
          <w:tblHeader w:val="off"/>
        </w:trPr>
        <w:tc>
          <w:tcPr>
            <w:tcW w:type="dxa" w:w="4819"/>
            <w:tcMar>
              <w:top w:type="dxa" w:w="60"/>
              <w:left w:type="dxa" w:w="100"/>
              <w:bottom w:type="dxa" w:w="60"/>
              <w:right w:type="dxa" w:w="100"/>
            </w:tcMar>
          </w:tcPr>
          <w:p>
            <w:r>
              <w:rPr>
                <w:sz w:val="19"/>
                <w:szCs w:val="19"/>
              </w:rPr>
              <w:t xml:space="preserve">Horário permitido</w:t>
            </w:r>
          </w:p>
        </w:tc>
        <w:tc>
          <w:tcPr>
            <w:tcW w:type="dxa" w:w="4819"/>
            <w:tcMar>
              <w:top w:type="dxa" w:w="60"/>
              <w:left w:type="dxa" w:w="100"/>
              <w:bottom w:type="dxa" w:w="60"/>
              <w:right w:type="dxa" w:w="100"/>
            </w:tcMar>
          </w:tcPr>
          <w:p>
            <w:r>
              <w:rPr>
                <w:sz w:val="19"/>
                <w:szCs w:val="19"/>
              </w:rPr>
              <w:t xml:space="preserve">Entre </w:t>
            </w:r>
            <w:r>
              <w:rPr>
                <w:b/>
                <w:bCs/>
                <w:sz w:val="19"/>
                <w:szCs w:val="19"/>
              </w:rPr>
              <w:t xml:space="preserve">06:00</w:t>
            </w:r>
            <w:r>
              <w:rPr>
                <w:sz w:val="19"/>
                <w:szCs w:val="19"/>
              </w:rPr>
              <w:t xml:space="preserve"> e </w:t>
            </w:r>
            <w:r>
              <w:rPr>
                <w:b/>
                <w:bCs/>
                <w:sz w:val="19"/>
                <w:szCs w:val="19"/>
              </w:rPr>
              <w:t xml:space="preserve">23:00</w:t>
            </w:r>
            <w:r>
              <w:rPr>
                <w:sz w:val="19"/>
                <w:szCs w:val="19"/>
              </w:rPr>
              <w:t xml:space="preserve"> do Fuso do Espaço</w:t>
            </w:r>
          </w:p>
        </w:tc>
      </w:tr>
      <w:tr>
        <w:trPr>
          <w:tblHeader w:val="off"/>
        </w:trPr>
        <w:tc>
          <w:tcPr>
            <w:tcW w:type="dxa" w:w="4819"/>
            <w:tcMar>
              <w:top w:type="dxa" w:w="60"/>
              <w:left w:type="dxa" w:w="100"/>
              <w:bottom w:type="dxa" w:w="60"/>
              <w:right w:type="dxa" w:w="100"/>
            </w:tcMar>
          </w:tcPr>
          <w:p>
            <w:r>
              <w:rPr>
                <w:sz w:val="19"/>
                <w:szCs w:val="19"/>
              </w:rPr>
              <w:t xml:space="preserve">Pernoite</w:t>
            </w:r>
          </w:p>
        </w:tc>
        <w:tc>
          <w:tcPr>
            <w:tcW w:type="dxa" w:w="4819"/>
            <w:tcMar>
              <w:top w:type="dxa" w:w="60"/>
              <w:left w:type="dxa" w:w="100"/>
              <w:bottom w:type="dxa" w:w="60"/>
              <w:right w:type="dxa" w:w="100"/>
            </w:tcMar>
          </w:tcPr>
          <w:p>
            <w:r>
              <w:rPr>
                <w:b/>
                <w:bCs/>
                <w:sz w:val="19"/>
                <w:szCs w:val="19"/>
              </w:rPr>
              <w:t xml:space="preserve">Proibido</w:t>
            </w:r>
            <w:r>
              <w:rPr>
                <w:sz w:val="19"/>
                <w:szCs w:val="19"/>
              </w:rPr>
              <w:t xml:space="preserve"> — cada Ocorrência começa e termina no mesmo dia</w:t>
            </w:r>
          </w:p>
        </w:tc>
      </w:tr>
      <w:tr>
        <w:trPr>
          <w:tblHeader w:val="off"/>
        </w:trPr>
        <w:tc>
          <w:tcPr>
            <w:tcW w:type="dxa" w:w="4819"/>
            <w:tcMar>
              <w:top w:type="dxa" w:w="60"/>
              <w:left w:type="dxa" w:w="100"/>
              <w:bottom w:type="dxa" w:w="60"/>
              <w:right w:type="dxa" w:w="100"/>
            </w:tcMar>
          </w:tcPr>
          <w:p>
            <w:r>
              <w:rPr>
                <w:sz w:val="19"/>
                <w:szCs w:val="19"/>
              </w:rPr>
              <w:t xml:space="preserve">Dias consecutivos</w:t>
            </w:r>
          </w:p>
        </w:tc>
        <w:tc>
          <w:tcPr>
            <w:tcW w:type="dxa" w:w="4819"/>
            <w:tcMar>
              <w:top w:type="dxa" w:w="60"/>
              <w:left w:type="dxa" w:w="100"/>
              <w:bottom w:type="dxa" w:w="60"/>
              <w:right w:type="dxa" w:w="100"/>
            </w:tcMar>
          </w:tcPr>
          <w:p>
            <w:r>
              <w:rPr>
                <w:sz w:val="19"/>
                <w:szCs w:val="19"/>
              </w:rPr>
              <w:t xml:space="preserve">No máximo </w:t>
            </w:r>
            <w:r>
              <w:rPr>
                <w:b/>
                <w:bCs/>
                <w:sz w:val="19"/>
                <w:szCs w:val="19"/>
              </w:rPr>
              <w:t xml:space="preserve">5 dias seguidos</w:t>
            </w:r>
            <w:r>
              <w:rPr>
                <w:sz w:val="19"/>
                <w:szCs w:val="19"/>
              </w:rPr>
              <w:t xml:space="preserve"> em uma mesma Reserva</w:t>
            </w:r>
          </w:p>
        </w:tc>
      </w:tr>
      <w:tr>
        <w:trPr>
          <w:tblHeader w:val="off"/>
        </w:trPr>
        <w:tc>
          <w:tcPr>
            <w:tcW w:type="dxa" w:w="4819"/>
            <w:tcMar>
              <w:top w:type="dxa" w:w="60"/>
              <w:left w:type="dxa" w:w="100"/>
              <w:bottom w:type="dxa" w:w="60"/>
              <w:right w:type="dxa" w:w="100"/>
            </w:tcMar>
          </w:tcPr>
          <w:p>
            <w:r>
              <w:rPr>
                <w:sz w:val="19"/>
                <w:szCs w:val="19"/>
              </w:rPr>
              <w:t xml:space="preserve">Recorrência semanal</w:t>
            </w:r>
          </w:p>
        </w:tc>
        <w:tc>
          <w:tcPr>
            <w:tcW w:type="dxa" w:w="4819"/>
            <w:tcMar>
              <w:top w:type="dxa" w:w="60"/>
              <w:left w:type="dxa" w:w="100"/>
              <w:bottom w:type="dxa" w:w="60"/>
              <w:right w:type="dxa" w:w="100"/>
            </w:tcMar>
          </w:tcPr>
          <w:p>
            <w:r>
              <w:rPr>
                <w:sz w:val="19"/>
                <w:szCs w:val="19"/>
              </w:rPr>
              <w:t xml:space="preserve">No máximo </w:t>
            </w:r>
            <w:r>
              <w:rPr>
                <w:b/>
                <w:bCs/>
                <w:sz w:val="19"/>
                <w:szCs w:val="19"/>
              </w:rPr>
              <w:t xml:space="preserve">12 semanas</w:t>
            </w:r>
            <w:r>
              <w:rPr>
                <w:sz w:val="19"/>
                <w:szCs w:val="19"/>
              </w:rPr>
              <w:t xml:space="preserve"> por série (mesmo dia da semana)</w:t>
            </w:r>
          </w:p>
        </w:tc>
      </w:tr>
      <w:tr>
        <w:trPr>
          <w:tblHeader w:val="off"/>
        </w:trPr>
        <w:tc>
          <w:tcPr>
            <w:tcW w:type="dxa" w:w="4819"/>
            <w:tcMar>
              <w:top w:type="dxa" w:w="60"/>
              <w:left w:type="dxa" w:w="100"/>
              <w:bottom w:type="dxa" w:w="60"/>
              <w:right w:type="dxa" w:w="100"/>
            </w:tcMar>
          </w:tcPr>
          <w:p>
            <w:r>
              <w:rPr>
                <w:sz w:val="19"/>
                <w:szCs w:val="19"/>
              </w:rPr>
              <w:t xml:space="preserve">Ocorrências por Reserva</w:t>
            </w:r>
          </w:p>
        </w:tc>
        <w:tc>
          <w:tcPr>
            <w:tcW w:type="dxa" w:w="4819"/>
            <w:tcMar>
              <w:top w:type="dxa" w:w="60"/>
              <w:left w:type="dxa" w:w="100"/>
              <w:bottom w:type="dxa" w:w="60"/>
              <w:right w:type="dxa" w:w="100"/>
            </w:tcMar>
          </w:tcPr>
          <w:p>
            <w:r>
              <w:rPr>
                <w:sz w:val="19"/>
                <w:szCs w:val="19"/>
              </w:rPr>
              <w:t xml:space="preserve">No máximo </w:t>
            </w:r>
            <w:r>
              <w:rPr>
                <w:b/>
                <w:bCs/>
                <w:sz w:val="19"/>
                <w:szCs w:val="19"/>
              </w:rPr>
              <w:t xml:space="preserve">12</w:t>
            </w:r>
          </w:p>
        </w:tc>
      </w:tr>
      <w:tr>
        <w:trPr>
          <w:tblHeader w:val="off"/>
        </w:trPr>
        <w:tc>
          <w:tcPr>
            <w:tcW w:type="dxa" w:w="4819"/>
            <w:tcMar>
              <w:top w:type="dxa" w:w="60"/>
              <w:left w:type="dxa" w:w="100"/>
              <w:bottom w:type="dxa" w:w="60"/>
              <w:right w:type="dxa" w:w="100"/>
            </w:tcMar>
          </w:tcPr>
          <w:p>
            <w:r>
              <w:rPr>
                <w:sz w:val="19"/>
                <w:szCs w:val="19"/>
              </w:rPr>
              <w:t xml:space="preserve">Antecedência máxima</w:t>
            </w:r>
          </w:p>
        </w:tc>
        <w:tc>
          <w:tcPr>
            <w:tcW w:type="dxa" w:w="4819"/>
            <w:tcMar>
              <w:top w:type="dxa" w:w="60"/>
              <w:left w:type="dxa" w:w="100"/>
              <w:bottom w:type="dxa" w:w="60"/>
              <w:right w:type="dxa" w:w="100"/>
            </w:tcMar>
          </w:tcPr>
          <w:p>
            <w:r>
              <w:rPr>
                <w:b/>
                <w:bCs/>
                <w:sz w:val="19"/>
                <w:szCs w:val="19"/>
              </w:rPr>
              <w:t xml:space="preserve">180 dias</w:t>
            </w:r>
            <w:r>
              <w:rPr>
                <w:sz w:val="19"/>
                <w:szCs w:val="19"/>
              </w:rPr>
              <w:t xml:space="preserve"> contados da data atual no Fuso do Espaço</w:t>
            </w:r>
          </w:p>
        </w:tc>
      </w:tr>
      <w:tr>
        <w:trPr>
          <w:tblHeader w:val="off"/>
        </w:trPr>
        <w:tc>
          <w:tcPr>
            <w:tcW w:type="dxa" w:w="4819"/>
            <w:tcMar>
              <w:top w:type="dxa" w:w="60"/>
              <w:left w:type="dxa" w:w="100"/>
              <w:bottom w:type="dxa" w:w="60"/>
              <w:right w:type="dxa" w:w="100"/>
            </w:tcMar>
          </w:tcPr>
          <w:p>
            <w:r>
              <w:rPr>
                <w:sz w:val="19"/>
                <w:szCs w:val="19"/>
              </w:rPr>
              <w:t xml:space="preserve">Antecedência mínima</w:t>
            </w:r>
          </w:p>
        </w:tc>
        <w:tc>
          <w:tcPr>
            <w:tcW w:type="dxa" w:w="4819"/>
            <w:tcMar>
              <w:top w:type="dxa" w:w="60"/>
              <w:left w:type="dxa" w:w="100"/>
              <w:bottom w:type="dxa" w:w="60"/>
              <w:right w:type="dxa" w:w="100"/>
            </w:tcMar>
          </w:tcPr>
          <w:p>
            <w:r>
              <w:rPr>
                <w:b/>
                <w:bCs/>
                <w:sz w:val="19"/>
                <w:szCs w:val="19"/>
              </w:rPr>
              <w:t xml:space="preserve">1 hora</w:t>
            </w:r>
            <w:r>
              <w:rPr>
                <w:sz w:val="19"/>
                <w:szCs w:val="19"/>
              </w:rPr>
              <w:t xml:space="preserve"> antes do início da Ocorrência</w:t>
            </w:r>
          </w:p>
        </w:tc>
      </w:tr>
      <w:tr>
        <w:trPr>
          <w:tblHeader w:val="off"/>
        </w:trPr>
        <w:tc>
          <w:tcPr>
            <w:tcW w:type="dxa" w:w="4819"/>
            <w:tcMar>
              <w:top w:type="dxa" w:w="60"/>
              <w:left w:type="dxa" w:w="100"/>
              <w:bottom w:type="dxa" w:w="60"/>
              <w:right w:type="dxa" w:w="100"/>
            </w:tcMar>
          </w:tcPr>
          <w:p>
            <w:r>
              <w:rPr>
                <w:sz w:val="19"/>
                <w:szCs w:val="19"/>
              </w:rPr>
              <w:t xml:space="preserve">Teto de horas</w:t>
            </w:r>
          </w:p>
        </w:tc>
        <w:tc>
          <w:tcPr>
            <w:tcW w:type="dxa" w:w="4819"/>
            <w:tcMar>
              <w:top w:type="dxa" w:w="60"/>
              <w:left w:type="dxa" w:w="100"/>
              <w:bottom w:type="dxa" w:w="60"/>
              <w:right w:type="dxa" w:w="100"/>
            </w:tcMar>
          </w:tcPr>
          <w:p>
            <w:r>
              <w:rPr>
                <w:b/>
                <w:bCs/>
                <w:sz w:val="19"/>
                <w:szCs w:val="19"/>
              </w:rPr>
              <w:t xml:space="preserve">120 horas</w:t>
            </w:r>
            <w:r>
              <w:rPr>
                <w:sz w:val="19"/>
                <w:szCs w:val="19"/>
              </w:rPr>
              <w:t xml:space="preserve"> por Locatário, por Espaço, em qualquer janela móvel de </w:t>
            </w:r>
            <w:r>
              <w:rPr>
                <w:b/>
                <w:bCs/>
                <w:sz w:val="19"/>
                <w:szCs w:val="19"/>
              </w:rPr>
              <w:t xml:space="preserve">30 dias</w:t>
            </w:r>
          </w:p>
        </w:tc>
      </w:tr>
      <w:tr>
        <w:trPr>
          <w:tblHeader w:val="off"/>
        </w:trPr>
        <w:tc>
          <w:tcPr>
            <w:tcW w:type="dxa" w:w="4819"/>
            <w:tcMar>
              <w:top w:type="dxa" w:w="60"/>
              <w:left w:type="dxa" w:w="100"/>
              <w:bottom w:type="dxa" w:w="60"/>
              <w:right w:type="dxa" w:w="100"/>
            </w:tcMar>
          </w:tcPr>
          <w:p>
            <w:r>
              <w:rPr>
                <w:sz w:val="19"/>
                <w:szCs w:val="19"/>
              </w:rPr>
              <w:t xml:space="preserve">Séries recorrentes ativas</w:t>
            </w:r>
          </w:p>
        </w:tc>
        <w:tc>
          <w:tcPr>
            <w:tcW w:type="dxa" w:w="4819"/>
            <w:tcMar>
              <w:top w:type="dxa" w:w="60"/>
              <w:left w:type="dxa" w:w="100"/>
              <w:bottom w:type="dxa" w:w="60"/>
              <w:right w:type="dxa" w:w="100"/>
            </w:tcMar>
          </w:tcPr>
          <w:p>
            <w:r>
              <w:rPr>
                <w:sz w:val="19"/>
                <w:szCs w:val="19"/>
              </w:rPr>
              <w:t xml:space="preserve">No máximo </w:t>
            </w:r>
            <w:r>
              <w:rPr>
                <w:b/>
                <w:bCs/>
                <w:sz w:val="19"/>
                <w:szCs w:val="19"/>
              </w:rPr>
              <w:t xml:space="preserve">2</w:t>
            </w:r>
            <w:r>
              <w:rPr>
                <w:sz w:val="19"/>
                <w:szCs w:val="19"/>
              </w:rPr>
              <w:t xml:space="preserve"> séries simultâneas por Locatário no mesmo Espaço</w:t>
            </w:r>
          </w:p>
        </w:tc>
      </w:tr>
      <w:tr>
        <w:trPr>
          <w:tblHeader w:val="off"/>
        </w:trPr>
        <w:tc>
          <w:tcPr>
            <w:tcW w:type="dxa" w:w="4819"/>
            <w:tcMar>
              <w:top w:type="dxa" w:w="60"/>
              <w:left w:type="dxa" w:w="100"/>
              <w:bottom w:type="dxa" w:w="60"/>
              <w:right w:type="dxa" w:w="100"/>
            </w:tcMar>
          </w:tcPr>
          <w:p>
            <w:r>
              <w:rPr>
                <w:sz w:val="19"/>
                <w:szCs w:val="19"/>
              </w:rPr>
              <w:t xml:space="preserve">Intervalo após série máxima</w:t>
            </w:r>
          </w:p>
        </w:tc>
        <w:tc>
          <w:tcPr>
            <w:tcW w:type="dxa" w:w="4819"/>
            <w:tcMar>
              <w:top w:type="dxa" w:w="60"/>
              <w:left w:type="dxa" w:w="100"/>
              <w:bottom w:type="dxa" w:w="60"/>
              <w:right w:type="dxa" w:w="100"/>
            </w:tcMar>
          </w:tcPr>
          <w:p>
            <w:r>
              <w:rPr>
                <w:b/>
                <w:bCs/>
                <w:sz w:val="19"/>
                <w:szCs w:val="19"/>
              </w:rPr>
              <w:t xml:space="preserve">14 dias</w:t>
            </w:r>
            <w:r>
              <w:rPr>
                <w:sz w:val="19"/>
                <w:szCs w:val="19"/>
              </w:rPr>
              <w:t xml:space="preserve"> após o término de uma série de 12 semanas antes de iniciar nova série no mesmo Espaço</w:t>
            </w:r>
          </w:p>
        </w:tc>
      </w:tr>
    </w:tbl>
    <w:p/>
    <w:p>
      <w:pPr>
        <w:spacing w:after="120"/>
        <w:jc w:val="both"/>
      </w:pPr>
      <w:r>
        <w:t xml:space="preserve">2.2. </w:t>
      </w:r>
      <w:r>
        <w:rPr>
          <w:b/>
          <w:bCs/>
        </w:rPr>
        <w:t xml:space="preserve">Padrões admitidos.</w:t>
      </w:r>
      <w:r>
        <w:t xml:space="preserve"> Uma Reserva com mais de uma Ocorrência deve seguir exatamente um destes padrões: (a) </w:t>
      </w:r>
      <w:r>
        <w:rPr>
          <w:b/>
          <w:bCs/>
        </w:rPr>
        <w:t xml:space="preserve">dias consecutivos</w:t>
      </w:r>
      <w:r>
        <w:t xml:space="preserve"> (datas seguidas, até 5); ou (b) </w:t>
      </w:r>
      <w:r>
        <w:rPr>
          <w:b/>
          <w:bCs/>
        </w:rPr>
        <w:t xml:space="preserve">recorrência semanal</w:t>
      </w:r>
      <w:r>
        <w:t xml:space="preserve"> (mesmo dia da semana, com intervalo de 7 dias, até 12 semanas). Não são aceitas datas duplicadas nem combinações irregulares; nesse caso o Locatário deve fazer Reservas separadas, que continuam sujeitas ao teto de horas e aos demais limites.</w:t>
      </w:r>
    </w:p>
    <w:p>
      <w:pPr>
        <w:spacing w:after="120"/>
        <w:jc w:val="both"/>
      </w:pPr>
      <w:r>
        <w:t xml:space="preserve">2.3. </w:t>
      </w:r>
      <w:r>
        <w:rPr>
          <w:b/>
          <w:bCs/>
        </w:rPr>
        <w:t xml:space="preserve">Janela de disponibilidade.</w:t>
      </w:r>
      <w:r>
        <w:t xml:space="preserve"> Cada Ocorrência deve caber inteiramente dentro de uma das janelas de horário ocioso informadas pelo Anfitrião para aquele dia da semana, e não pode recair em data bloqueada pelo Anfitrião.</w:t>
      </w:r>
    </w:p>
    <w:p>
      <w:pPr>
        <w:spacing w:after="120"/>
        <w:jc w:val="both"/>
      </w:pPr>
      <w:r>
        <w:t xml:space="preserve">2.4. </w:t>
      </w:r>
      <w:r>
        <w:rPr>
          <w:b/>
          <w:bCs/>
        </w:rPr>
        <w:t xml:space="preserve">Diária.</w:t>
      </w:r>
      <w:r>
        <w:t xml:space="preserve"> Se o Anfitrião oferecer preço de diária (turno completo), ele é aplicado automaticamente a Ocorrências de 6 horas ou mais sempre que for mais vantajoso para o Locatário do que o preço por hora.</w:t>
      </w:r>
    </w:p>
    <w:p>
      <w:pPr>
        <w:spacing w:after="120"/>
        <w:jc w:val="both"/>
      </w:pPr>
      <w:r>
        <w:t xml:space="preserve">2.5. </w:t>
      </w:r>
      <w:r>
        <w:rPr>
          <w:b/>
          <w:bCs/>
        </w:rPr>
        <w:t xml:space="preserve">Tentativas de contornar os limites.</w:t>
      </w:r>
      <w:r>
        <w:t xml:space="preserve"> É proibido fracionar Reservas, usar contas de terceiros, criar múltiplas contas ou combinar Reservas entre Espaços do mesmo Anfitrião com o objetivo de obter ocupação contínua. Tal conduta constitui violação de regras e pode configurar sublocação ou uso indevido, com as consequências previstas em Penalidades e Medidas.</w:t>
      </w:r>
    </w:p>
    <w:p>
      <w:pPr>
        <w:pStyle w:val="Heading2"/>
      </w:pPr>
      <w:r>
        <w:t xml:space="preserve">3. Usos expressamente proibidos</w:t>
      </w:r>
    </w:p>
    <w:p>
      <w:pPr>
        <w:spacing w:after="120"/>
        <w:jc w:val="both"/>
      </w:pPr>
      <w:r>
        <w:t xml:space="preserve">3.1. Em nenhuma hipótese o Locatário pode:</w:t>
      </w:r>
    </w:p>
    <w:p>
      <w:pPr>
        <w:pStyle w:val="ListParagraph"/>
        <w:numPr>
          <w:ilvl w:val="0"/>
          <w:numId w:val="2"/>
        </w:numPr>
        <w:spacing w:after="60"/>
      </w:pPr>
      <w:r>
        <w:t xml:space="preserve">(a) utilizar o endereço do Espaço como </w:t>
      </w:r>
      <w:r>
        <w:rPr>
          <w:b/>
          <w:bCs/>
        </w:rPr>
        <w:t xml:space="preserve">sede, filial, domicílio fiscal, endereço de correspondência</w:t>
      </w:r>
      <w:r>
        <w:t xml:space="preserve">, endereço em registro profissional, sanitário, comercial ou em material publicitário como se fosse seu estabelecimento;</w:t>
      </w:r>
    </w:p>
    <w:p>
      <w:pPr>
        <w:pStyle w:val="ListParagraph"/>
        <w:numPr>
          <w:ilvl w:val="0"/>
          <w:numId w:val="2"/>
        </w:numPr>
        <w:spacing w:after="60"/>
      </w:pPr>
      <w:r>
        <w:t xml:space="preserve">(b) fixar </w:t>
      </w:r>
      <w:r>
        <w:rPr>
          <w:b/>
          <w:bCs/>
        </w:rPr>
        <w:t xml:space="preserve">placa, letreiro ou identificação permanente</w:t>
      </w:r>
      <w:r>
        <w:t xml:space="preserve"> no Espaço ou no edifício (identificação temporária durante a Ocorrência, removida ao final, é permitida se autorizada pelo Anfitrião);</w:t>
      </w:r>
    </w:p>
    <w:p>
      <w:pPr>
        <w:pStyle w:val="ListParagraph"/>
        <w:numPr>
          <w:ilvl w:val="0"/>
          <w:numId w:val="2"/>
        </w:numPr>
        <w:spacing w:after="60"/>
      </w:pPr>
      <w:r>
        <w:t xml:space="preserve">(c) </w:t>
      </w:r>
      <w:r>
        <w:rPr>
          <w:b/>
          <w:bCs/>
        </w:rPr>
        <w:t xml:space="preserve">pernoitar</w:t>
      </w:r>
      <w:r>
        <w:t xml:space="preserve">, residir, dormir ou utilizar o Espaço como moradia, ainda que temporária;</w:t>
      </w:r>
    </w:p>
    <w:p>
      <w:pPr>
        <w:pStyle w:val="ListParagraph"/>
        <w:numPr>
          <w:ilvl w:val="0"/>
          <w:numId w:val="2"/>
        </w:numPr>
        <w:spacing w:after="60"/>
      </w:pPr>
      <w:r>
        <w:t xml:space="preserve">(d) </w:t>
      </w:r>
      <w:r>
        <w:rPr>
          <w:b/>
          <w:bCs/>
        </w:rPr>
        <w:t xml:space="preserve">armazenar pertences, materiais, equipamentos, prontuários ou estoque entre Reservas</w:t>
      </w:r>
      <w:r>
        <w:t xml:space="preserve">, salvo guarda-volumes expressamente oferecido pelo Anfitrião no Anúncio e sob as condições deste;</w:t>
      </w:r>
    </w:p>
    <w:p>
      <w:pPr>
        <w:pStyle w:val="ListParagraph"/>
        <w:numPr>
          <w:ilvl w:val="0"/>
          <w:numId w:val="2"/>
        </w:numPr>
        <w:spacing w:after="60"/>
      </w:pPr>
      <w:r>
        <w:t xml:space="preserve">(e) </w:t>
      </w:r>
      <w:r>
        <w:rPr>
          <w:b/>
          <w:bCs/>
        </w:rPr>
        <w:t xml:space="preserve">sublocar, ceder, emprestar</w:t>
      </w:r>
      <w:r>
        <w:t xml:space="preserve"> ou permitir que terceiro não declarado utilize o Espaço;</w:t>
      </w:r>
    </w:p>
    <w:p>
      <w:pPr>
        <w:pStyle w:val="ListParagraph"/>
        <w:numPr>
          <w:ilvl w:val="0"/>
          <w:numId w:val="2"/>
        </w:numPr>
        <w:spacing w:after="60"/>
      </w:pPr>
      <w:r>
        <w:t xml:space="preserve">(f) exercer atividade diferente da declarada, atividade proibida pelo Anfitrião ou atividade para a qual não possua habilitação legal válida e ativa (cláusula 8);</w:t>
      </w:r>
    </w:p>
    <w:p>
      <w:pPr>
        <w:pStyle w:val="ListParagraph"/>
        <w:numPr>
          <w:ilvl w:val="0"/>
          <w:numId w:val="2"/>
        </w:numPr>
        <w:spacing w:after="60"/>
      </w:pPr>
      <w:r>
        <w:t xml:space="preserve">(g) receber correspondência, entregas ou visitas fora do horário da Ocorrência;</w:t>
      </w:r>
    </w:p>
    <w:p>
      <w:pPr>
        <w:pStyle w:val="ListParagraph"/>
        <w:numPr>
          <w:ilvl w:val="0"/>
          <w:numId w:val="2"/>
        </w:numPr>
        <w:spacing w:after="60"/>
      </w:pPr>
      <w:r>
        <w:t xml:space="preserve">(h) realizar obras, alterações, pinturas, instalações ou mudanças de layout.</w:t>
      </w:r>
    </w:p>
    <w:p>
      <w:pPr>
        <w:spacing w:after="120"/>
        <w:jc w:val="both"/>
      </w:pPr>
      <w:r>
        <w:t xml:space="preserve">3.2. A violação desta cláusula sujeita o Locatário às penalidades de violação de regras, atividade não autorizada ou sublocação, conforme o caso, além do cancelamento das Ocorrências futuras sem reembolso quando a lei permitir.</w:t>
      </w:r>
    </w:p>
    <w:p>
      <w:pPr>
        <w:pStyle w:val="Heading2"/>
      </w:pPr>
      <w:r>
        <w:t xml:space="preserve">4. Tipos de Reserva</w:t>
      </w:r>
    </w:p>
    <w:p>
      <w:pPr>
        <w:spacing w:after="120"/>
        <w:jc w:val="both"/>
      </w:pPr>
      <w:r>
        <w:t xml:space="preserve">4.1. </w:t>
      </w:r>
      <w:r>
        <w:rPr>
          <w:b/>
          <w:bCs/>
        </w:rPr>
        <w:t xml:space="preserve">Reserva instantânea.</w:t>
      </w:r>
      <w:r>
        <w:t xml:space="preserve"> Se o Anúncio estiver configurado como reserva instantânea, a Reserva é confirmada imediatamente após a autorização do pagamento e, quando exigido, após o aceite do Avalista.</w:t>
      </w:r>
    </w:p>
    <w:p>
      <w:pPr>
        <w:spacing w:after="120"/>
        <w:jc w:val="both"/>
      </w:pPr>
      <w:r>
        <w:t xml:space="preserve">4.2. </w:t>
      </w:r>
      <w:r>
        <w:rPr>
          <w:b/>
          <w:bCs/>
        </w:rPr>
        <w:t xml:space="preserve">Reserva por solicitação.</w:t>
      </w:r>
      <w:r>
        <w:t xml:space="preserve"> Nos demais casos, a Reserva fica com o status "aguardando anfitrião" e o valor é apenas autorizado (não capturado). O Anfitrião tem </w:t>
      </w:r>
      <w:r>
        <w:rPr>
          <w:b/>
          <w:bCs/>
        </w:rPr>
        <w:t xml:space="preserve">24 horas</w:t>
      </w:r>
      <w:r>
        <w:t xml:space="preserve"> para aceitar ou recusar. Sem resposta nesse prazo, a solicitação </w:t>
      </w:r>
      <w:r>
        <w:rPr>
          <w:b/>
          <w:bCs/>
        </w:rPr>
        <w:t xml:space="preserve">expira automaticamente</w:t>
      </w:r>
      <w:r>
        <w:t xml:space="preserve"> e a autorização é liberada integralmente. Recusas não podem se fundar em critério discriminatório.</w:t>
      </w:r>
    </w:p>
    <w:p>
      <w:pPr>
        <w:spacing w:after="120"/>
        <w:jc w:val="both"/>
      </w:pPr>
      <w:r>
        <w:t xml:space="preserve">4.3. </w:t>
      </w:r>
      <w:r>
        <w:rPr>
          <w:b/>
          <w:bCs/>
        </w:rPr>
        <w:t xml:space="preserve">Reserva com Avalista.</w:t>
      </w:r>
      <w:r>
        <w:t xml:space="preserve"> Quando o Anúncio exigir Avalista, a Reserva fica com o status "aguardando avalista" até o aceite pelo Avalista, que tem </w:t>
      </w:r>
      <w:r>
        <w:rPr>
          <w:b/>
          <w:bCs/>
        </w:rPr>
        <w:t xml:space="preserve">48 horas</w:t>
      </w:r>
      <w:r>
        <w:t xml:space="preserve"> para responder (documento Avalista e Caução). Recusa ou silêncio do Avalista encerram a solicitação sem custo.</w:t>
      </w:r>
    </w:p>
    <w:p>
      <w:pPr>
        <w:spacing w:after="120"/>
        <w:jc w:val="both"/>
      </w:pPr>
      <w:r>
        <w:t xml:space="preserve">4.4. </w:t>
      </w:r>
      <w:r>
        <w:rPr>
          <w:b/>
          <w:bCs/>
        </w:rPr>
        <w:t xml:space="preserve">Situações da Reserva.</w:t>
      </w:r>
      <w:r>
        <w:t xml:space="preserve"> Uma Reserva pode estar: aguardando avalista; aguardando anfitrião; confirmada; em uso (check-in realizado); concluída; cancelada pelo Locatário; cancelada pelo Anfitrião; recusada; expirada; ou não comparecimento (</w:t>
      </w:r>
      <w:r>
        <w:rPr>
          <w:i/>
          <w:iCs/>
        </w:rPr>
        <w:t xml:space="preserve">no-show</w:t>
      </w:r>
      <w:r>
        <w:t xml:space="preserve">).</w:t>
      </w:r>
    </w:p>
    <w:p>
      <w:pPr>
        <w:pStyle w:val="Heading2"/>
      </w:pPr>
      <w:r>
        <w:t xml:space="preserve">5. Intervalo de limpeza (buffer)</w:t>
      </w:r>
    </w:p>
    <w:p>
      <w:pPr>
        <w:spacing w:after="120"/>
        <w:jc w:val="both"/>
      </w:pPr>
      <w:r>
        <w:t xml:space="preserve">5.1. O Anfitrião pode definir um intervalo de preparo e limpeza, em minutos, que é bloqueado automaticamente antes e depois de cada Ocorrência. Nenhuma outra Reserva pode ser sobreposta a esse intervalo.</w:t>
      </w:r>
    </w:p>
    <w:p>
      <w:pPr>
        <w:spacing w:after="120"/>
        <w:jc w:val="both"/>
      </w:pPr>
      <w:r>
        <w:t xml:space="preserve">5.2. O intervalo não é cobrado do Locatário e </w:t>
      </w:r>
      <w:r>
        <w:rPr>
          <w:b/>
          <w:bCs/>
        </w:rPr>
        <w:t xml:space="preserve">não autoriza</w:t>
      </w:r>
      <w:r>
        <w:t xml:space="preserve"> o Locatário a chegar antes do início ou sair depois do término. A permanência além do horário configura atraso na saída (Penalidades e Medidas).</w:t>
      </w:r>
    </w:p>
    <w:p>
      <w:pPr>
        <w:pStyle w:val="Heading2"/>
      </w:pPr>
      <w:r>
        <w:t xml:space="preserve">6. Fuso horário</w:t>
      </w:r>
    </w:p>
    <w:p>
      <w:pPr>
        <w:spacing w:after="120"/>
        <w:jc w:val="both"/>
      </w:pPr>
      <w:r>
        <w:t xml:space="preserve">6.1. Todos os horários de Reserva, cancelamento, check-in, check-out e prazos vinculados ao início de uma Ocorrência são expressos e calculados no </w:t>
      </w:r>
      <w:r>
        <w:rPr>
          <w:b/>
          <w:bCs/>
        </w:rPr>
        <w:t xml:space="preserve">Fuso do Espaço</w:t>
      </w:r>
      <w:r>
        <w:t xml:space="preserve"> (por exemplo, America/Sao_Paulo, America/Manaus, Europe/Lisbon, Asia/Tokyo), inclusive nas transições de horário de verão.</w:t>
      </w:r>
    </w:p>
    <w:p>
      <w:pPr>
        <w:spacing w:after="120"/>
        <w:jc w:val="both"/>
      </w:pPr>
      <w:r>
        <w:t xml:space="preserve">6.2. A Plataforma exibe o fuso junto aos horários. O Locatário que estiver em outro fuso é responsável por conferir o horário local do Espaço.</w:t>
      </w:r>
    </w:p>
    <w:p>
      <w:pPr>
        <w:pStyle w:val="Heading2"/>
      </w:pPr>
      <w:r>
        <w:t xml:space="preserve">7. Declaração de atividade e número de pessoas</w:t>
      </w:r>
    </w:p>
    <w:p>
      <w:pPr>
        <w:spacing w:after="120"/>
        <w:jc w:val="both"/>
      </w:pPr>
      <w:r>
        <w:t xml:space="preserve">7.1. Em toda Reserva, o Locatário declara: (a) a </w:t>
      </w:r>
      <w:r>
        <w:rPr>
          <w:b/>
          <w:bCs/>
        </w:rPr>
        <w:t xml:space="preserve">atividade</w:t>
      </w:r>
      <w:r>
        <w:t xml:space="preserve"> que exercerá (por exemplo, "atendimento odontológico clínico, sem procedimentos cirúrgicos", "sessões de psicoterapia individual", "aula para 20 alunos"); e (b) o </w:t>
      </w:r>
      <w:r>
        <w:rPr>
          <w:b/>
          <w:bCs/>
        </w:rPr>
        <w:t xml:space="preserve">número de pessoas</w:t>
      </w:r>
      <w:r>
        <w:t xml:space="preserve"> que estarão simultaneamente no Espaço, incluindo ele próprio, assistentes e Clientes Finais.</w:t>
      </w:r>
    </w:p>
    <w:p>
      <w:pPr>
        <w:spacing w:after="120"/>
        <w:jc w:val="both"/>
      </w:pPr>
      <w:r>
        <w:t xml:space="preserve">7.2. O número de pessoas não pode exceder a capacidade indicada no Anúncio. A atividade deve ser compatível com a categoria do Espaço, com as atividades permitidas e proibidas definidas pelo Anfitrião, com as normas do edifício e com a legislação.</w:t>
      </w:r>
    </w:p>
    <w:p>
      <w:pPr>
        <w:spacing w:after="120"/>
        <w:jc w:val="both"/>
      </w:pPr>
      <w:r>
        <w:t xml:space="preserve">7.3. O Anfitrião pode recusar solicitações ou abrir Incidente quando a atividade efetivamente exercida divergir da declarada.</w:t>
      </w:r>
    </w:p>
    <w:p>
      <w:pPr>
        <w:pStyle w:val="Heading2"/>
      </w:pPr>
      <w:r>
        <w:t xml:space="preserve">8. Registro profissional</w:t>
      </w:r>
    </w:p>
    <w:p>
      <w:pPr>
        <w:spacing w:after="120"/>
        <w:jc w:val="both"/>
      </w:pPr>
      <w:r>
        <w:t xml:space="preserve">8.1. Quando o Anfitrião marcar o Anúncio como </w:t>
      </w:r>
      <w:r>
        <w:rPr>
          <w:b/>
          <w:bCs/>
        </w:rPr>
        <w:t xml:space="preserve">"exige registro profissional"</w:t>
      </w:r>
      <w:r>
        <w:t xml:space="preserve">, somente Locatários cujo registro profissional tenha passado pela </w:t>
      </w:r>
      <w:r>
        <w:rPr>
          <w:b/>
          <w:bCs/>
        </w:rPr>
        <w:t xml:space="preserve">pré-triagem</w:t>
      </w:r>
      <w:r>
        <w:t xml:space="preserve"> da Plataforma podem concluir a Reserva. O órgão competente varia conforme a categoria e o país (por exemplo, CRO, CRM, CRP, OAB, CREFITO, CRN ou CRMV no Brasil; GDC, GMC ou HCPC no Reino Unido; cédula profesional/SEP no México; Ahpra na Austrália), conforme o documento Regras por País.</w:t>
      </w:r>
    </w:p>
    <w:p>
      <w:pPr>
        <w:spacing w:after="120"/>
        <w:jc w:val="both"/>
      </w:pPr>
      <w:r>
        <w:t xml:space="preserve">8.2. O Locatário declara que o registro está ativo, sem suspensão, e que abrange a atividade declarada. Qualquer suspensão, cassação ou restrição deve ser informada imediatamente, ficando vedada a utilização de Espaços que exijam o registro enquanto perdurar.</w:t>
      </w:r>
    </w:p>
    <w:p>
      <w:pPr>
        <w:spacing w:after="120"/>
        <w:jc w:val="both"/>
      </w:pPr>
      <w:r>
        <w:t xml:space="preserve">8.3. Mesmo quando o Anúncio não exigir registro, o Locatário é o único responsável por possuir as habilitações legais necessárias à atividade que exerce.</w:t>
      </w:r>
    </w:p>
    <w:p>
      <w:pPr>
        <w:spacing w:after="120"/>
        <w:jc w:val="both"/>
      </w:pPr>
      <w:r>
        <w:t xml:space="preserve">8.4. </w:t>
      </w:r>
      <w:r>
        <w:rPr>
          <w:b/>
          <w:bCs/>
        </w:rPr>
        <w:t xml:space="preserve">Pré-triagem automatizada.</w:t>
      </w:r>
      <w:r>
        <w:t xml:space="preserve"> A Plataforma realiza uma pré-triagem automatizada, com apoio de agente de inteligência artificial, do documento e do número de registro enviados. A pré-triagem verifica a coerência do documento com o nome do Locatário e com o órgão regulador do país e da atividade, e a Plataforma pode solicitar documentos adicionais (por exemplo, certidão de regularidade, carteira profissional, comprovante de especialidade) ou encaminhar o caso a revisão humana. </w:t>
      </w:r>
      <w:r>
        <w:rPr>
          <w:b/>
          <w:bCs/>
        </w:rPr>
        <w:t xml:space="preserve">A pré-triagem não é garantia</w:t>
      </w:r>
      <w:r>
        <w:t xml:space="preserve"> de que o registro esteja válido e ativo na data de cada Ocorrência (Termos de Uso, cláusulas 6.5 e 6.6).</w:t>
      </w:r>
    </w:p>
    <w:p>
      <w:pPr>
        <w:spacing w:after="120"/>
        <w:jc w:val="both"/>
      </w:pPr>
      <w:r>
        <w:t xml:space="preserve">8.5. </w:t>
      </w:r>
      <w:r>
        <w:rPr>
          <w:b/>
          <w:bCs/>
        </w:rPr>
        <w:t xml:space="preserve">Confirmação pelo Anfitrião.</w:t>
      </w:r>
      <w:r>
        <w:t xml:space="preserve"> Antes de cada Reserva de Espaço regulado (saúde, advocacia e outras atividades regulamentadas), o Anfitrião deve confirmar que o Locatário possui habilitação válida e ativa para a atividade declarada — por exemplo, consultando a base pública do conselho ou da ordem profissional ou solicitando o documento pela Plataforma. O Locatário deve colaborar e apresentar o documento pedido. Nas Reservas por solicitação, a confirmação deve ocorrer antes do aceite; nas Reservas instantâneas, logo após a confirmação e, em qualquer caso, antes do início da primeira Ocorrência. Em séries, a confirmação vale para toda a série, mas deve ser renovada se houver indício de alteração no status do registro. Em caso de dúvida fundada, o Anfitrião deve </w:t>
      </w:r>
      <w:r>
        <w:rPr>
          <w:b/>
          <w:bCs/>
        </w:rPr>
        <w:t xml:space="preserve">recusar a solicitação ou cancelar a Reserva sem multa nem Advertência</w:t>
      </w:r>
      <w:r>
        <w:t xml:space="preserve">, e o Locatário recebe reembolso integral conforme a Política de Cancelamento e Reembolso, sem prejuízo das penalidades cabíveis se for apurada informação falsa.</w:t>
      </w:r>
    </w:p>
    <w:p>
      <w:pPr>
        <w:spacing w:after="120"/>
        <w:jc w:val="both"/>
      </w:pPr>
      <w:r>
        <w:t xml:space="preserve">8.6. </w:t>
      </w:r>
      <w:r>
        <w:rPr>
          <w:b/>
          <w:bCs/>
        </w:rPr>
        <w:t xml:space="preserve">Exercício ilegal.</w:t>
      </w:r>
      <w:r>
        <w:t xml:space="preserve"> O Locatário é integralmente responsável, civil, administrativa e penalmente, pelo exercício de profissão sem habilitação (no Brasil, por exemplo, Código Penal, art. 282, e Lei das Contravenções Penais, art. 47; nos demais países, as normas indicadas em Regras por País). A constatação leva à </w:t>
      </w:r>
      <w:r>
        <w:rPr>
          <w:b/>
          <w:bCs/>
        </w:rPr>
        <w:t xml:space="preserve">exclusão imediata e definitiva</w:t>
      </w:r>
      <w:r>
        <w:t xml:space="preserve"> da conta e à </w:t>
      </w:r>
      <w:r>
        <w:rPr>
          <w:b/>
          <w:bCs/>
        </w:rPr>
        <w:t xml:space="preserve">comunicação às autoridades</w:t>
      </w:r>
      <w:r>
        <w:t xml:space="preserve"> e ao órgão profissional competentes, sem prejuízo das penalidades pecuniárias (Penalidades e Medidas).</w:t>
      </w:r>
    </w:p>
    <w:p>
      <w:pPr>
        <w:spacing w:after="120"/>
        <w:jc w:val="both"/>
      </w:pPr>
      <w:r>
        <w:t xml:space="preserve">8.7. </w:t>
      </w:r>
      <w:r>
        <w:rPr>
          <w:b/>
          <w:bCs/>
        </w:rPr>
        <w:t xml:space="preserve">Registro de terceiro ou documento falso.</w:t>
      </w:r>
      <w:r>
        <w:t xml:space="preserve"> É proibido usar registro, documento ou identidade de outro profissional, ou apresentar documento adulterado. Quando o Locatário for pessoa jurídica, o profissional responsável indicado (cláusula 9.2) deve ter seu próprio registro verificado.</w:t>
      </w:r>
    </w:p>
    <w:p>
      <w:pPr>
        <w:pStyle w:val="Heading2"/>
      </w:pPr>
      <w:r>
        <w:t xml:space="preserve">9. Uso pessoal do Espaço</w:t>
      </w:r>
    </w:p>
    <w:p>
      <w:pPr>
        <w:spacing w:after="120"/>
        <w:jc w:val="both"/>
      </w:pPr>
      <w:r>
        <w:t xml:space="preserve">9.1. A Reserva é pessoal. O Espaço só pode ser utilizado pelo Locatário titular e pelas pessoas por ele declaradas (assistentes, Clientes Finais, alunos, participantes), dentro do número declarado. O Locatário responde pelos atos de todas as pessoas que ingressarem no Espaço sob sua Reserva.</w:t>
      </w:r>
    </w:p>
    <w:p>
      <w:pPr>
        <w:spacing w:after="120"/>
        <w:jc w:val="both"/>
      </w:pPr>
      <w:r>
        <w:t xml:space="preserve">9.2. Quando o Locatário for pessoa jurídica, deve indicar o profissional responsável que estará presente, o qual deve atender aos requisitos de registro profissional do Anúncio.</w:t>
      </w:r>
    </w:p>
    <w:p>
      <w:pPr>
        <w:pStyle w:val="Heading2"/>
      </w:pPr>
      <w:r>
        <w:t xml:space="preserve">10. Check-in e check-out</w:t>
      </w:r>
    </w:p>
    <w:p>
      <w:pPr>
        <w:spacing w:after="120"/>
        <w:jc w:val="both"/>
      </w:pPr>
      <w:r>
        <w:t xml:space="preserve">10.1. </w:t>
      </w:r>
      <w:r>
        <w:rPr>
          <w:b/>
          <w:bCs/>
        </w:rPr>
        <w:t xml:space="preserve">Acesso.</w:t>
      </w:r>
      <w:r>
        <w:t xml:space="preserve"> O endereço completo e as instruções de acesso são revelados somente após a confirmação da Reserva.</w:t>
      </w:r>
    </w:p>
    <w:p>
      <w:pPr>
        <w:spacing w:after="120"/>
        <w:jc w:val="both"/>
      </w:pPr>
      <w:r>
        <w:t xml:space="preserve">10.2. </w:t>
      </w:r>
      <w:r>
        <w:rPr>
          <w:b/>
          <w:bCs/>
        </w:rPr>
        <w:t xml:space="preserve">Check-in.</w:t>
      </w:r>
      <w:r>
        <w:t xml:space="preserve"> Ao chegar, o Locatário registra o check-in na Plataforma e recomenda-se que registre fotos com data e hora do estado do Espaço e dos equipamentos. Eventuais irregularidades (sujeira, dano, equipamento inoperante) devem ser reportadas antes do início do uso, preferencialmente em até 15 minutos, para não lhe serem atribuídas.</w:t>
      </w:r>
    </w:p>
    <w:p>
      <w:pPr>
        <w:spacing w:after="120"/>
        <w:jc w:val="both"/>
      </w:pPr>
      <w:r>
        <w:t xml:space="preserve">10.3. </w:t>
      </w:r>
      <w:r>
        <w:rPr>
          <w:b/>
          <w:bCs/>
        </w:rPr>
        <w:t xml:space="preserve">Check-out.</w:t>
      </w:r>
      <w:r>
        <w:t xml:space="preserve"> Ao término, o Locatário deve deixar o Espaço no estado em que o recebeu, desligar equipamentos, fechar janelas e portas conforme as instruções, devolver chaves ou cartões e registrar o check-out, preferencialmente com fotos.</w:t>
      </w:r>
    </w:p>
    <w:p>
      <w:pPr>
        <w:spacing w:after="120"/>
        <w:jc w:val="both"/>
      </w:pPr>
      <w:r>
        <w:t xml:space="preserve">10.4. </w:t>
      </w:r>
      <w:r>
        <w:rPr>
          <w:b/>
          <w:bCs/>
        </w:rPr>
        <w:t xml:space="preserve">Pontualidade.</w:t>
      </w:r>
      <w:r>
        <w:t xml:space="preserve"> O Locatário não pode ingressar antes do horário de início nem permanecer após o término. Há tolerância de 10 minutos após o término; a partir daí incide a cobrança por atraso na saída prevista em Penalidades e Medidas.</w:t>
      </w:r>
    </w:p>
    <w:p>
      <w:pPr>
        <w:spacing w:after="120"/>
        <w:jc w:val="both"/>
      </w:pPr>
      <w:r>
        <w:t xml:space="preserve">10.5. </w:t>
      </w:r>
      <w:r>
        <w:rPr>
          <w:b/>
          <w:bCs/>
        </w:rPr>
        <w:t xml:space="preserve">Não comparecimento.</w:t>
      </w:r>
      <w:r>
        <w:t xml:space="preserve"> Se o Locatário não comparecer nem cancelar, a Ocorrência é marcada como não comparecimento e </w:t>
      </w:r>
      <w:r>
        <w:rPr>
          <w:b/>
          <w:bCs/>
        </w:rPr>
        <w:t xml:space="preserve">não há reembolso</w:t>
      </w:r>
      <w:r>
        <w:t xml:space="preserve"> do Valor Base daquela Ocorrência.</w:t>
      </w:r>
    </w:p>
    <w:p>
      <w:pPr>
        <w:spacing w:after="120"/>
        <w:jc w:val="both"/>
      </w:pPr>
      <w:r>
        <w:t xml:space="preserve">10.6. </w:t>
      </w:r>
      <w:r>
        <w:rPr>
          <w:b/>
          <w:bCs/>
        </w:rPr>
        <w:t xml:space="preserve">Falta de acesso.</w:t>
      </w:r>
      <w:r>
        <w:t xml:space="preserve"> Se o Locatário não conseguir acessar o Espaço por fato do Anfitrião, deve comunicar o Anfitrião e abrir Incidente de "falta de acesso" em até 24 horas; comprovado o fato, recebe reembolso integral da Ocorrência afetada.</w:t>
      </w:r>
    </w:p>
    <w:p>
      <w:pPr>
        <w:pStyle w:val="Heading2"/>
      </w:pPr>
      <w:r>
        <w:t xml:space="preserve">11. Alterações de Reserva</w:t>
      </w:r>
    </w:p>
    <w:p>
      <w:pPr>
        <w:spacing w:after="120"/>
        <w:jc w:val="both"/>
      </w:pPr>
      <w:r>
        <w:t xml:space="preserve">11.1. Alterações de data, horário ou número de pessoas podem ser solicitadas pela Plataforma e dependem de aceite do Anfitrião, de disponibilidade e do atendimento a todos os limites deste documento. A diferença de preço é cobrada ou reembolsada. A redução de horas equivale a cancelamento parcial, sujeito à política de cancelamento.</w:t>
      </w:r>
    </w:p>
    <w:p>
      <w:pPr>
        <w:pStyle w:val="Heading2"/>
      </w:pPr>
      <w:r>
        <w:t xml:space="preserve">12. Disposições finais</w:t>
      </w:r>
    </w:p>
    <w:p>
      <w:pPr>
        <w:spacing w:after="120"/>
        <w:jc w:val="both"/>
      </w:pPr>
      <w:r>
        <w:t xml:space="preserve">12.1. As normas do Espaço (normas internas do Anúncio) e do edifício ou condomínio aceitas na Reserva integram este documento.</w:t>
      </w:r>
    </w:p>
    <w:p>
      <w:pPr>
        <w:spacing w:after="120"/>
        <w:jc w:val="both"/>
      </w:pPr>
      <w:r>
        <w:t xml:space="preserve">12.2. Dúvidas sobre estas regras podem ser encaminhadas a support@space-hour.com.</w:t>
      </w:r>
    </w:p>
    <w:p>
      <w:r>
        <w:br w:type="page"/>
      </w:r>
    </w:p>
    <w:p>
      <w:pPr>
        <w:pStyle w:val="Heading1"/>
      </w:pPr>
      <w:r>
        <w:t xml:space="preserve">Pagamentos Internacionais</w:t>
      </w:r>
    </w:p>
    <w:p>
      <w:pPr>
        <w:spacing w:after="120"/>
        <w:jc w:val="both"/>
      </w:pPr>
      <w:r>
        <w:t xml:space="preserve">Versão 2026-09-25 · Vigência a partir de 25/09/2026</w:t>
      </w:r>
    </w:p>
    <w:p>
      <w:pPr>
        <w:pStyle w:val="Heading2"/>
      </w:pPr>
      <w:r>
        <w:t xml:space="preserve">1. Objeto</w:t>
      </w:r>
    </w:p>
    <w:p>
      <w:pPr>
        <w:spacing w:after="120"/>
        <w:jc w:val="both"/>
      </w:pPr>
      <w:r>
        <w:t xml:space="preserve">1.1. Este documento integra os Termos de Uso e disciplina a cobrança, o processamento, o repasse, os reembolsos e as retenções de valores relativos às Reservas.</w:t>
      </w:r>
    </w:p>
    <w:p>
      <w:pPr>
        <w:spacing w:after="120"/>
        <w:jc w:val="both"/>
      </w:pPr>
      <w:r>
        <w:t xml:space="preserve">1.2. Os pagamentos são processados por instituições de pagamento e adquirentes parceiros, devidamente autorizados em cada jurisdição. A Operadora atua como agente de cobrança limitado do Anfitrião: o pagamento feito pelo Locatário à Plataforma quita a obrigação do Locatário perante o Anfitrião.</w:t>
      </w:r>
    </w:p>
    <w:p>
      <w:pPr>
        <w:spacing w:after="120"/>
        <w:jc w:val="both"/>
      </w:pPr>
      <w:r>
        <w:t xml:space="preserve">1.3. </w:t>
      </w:r>
      <w:r>
        <w:rPr>
          <w:b/>
          <w:bCs/>
        </w:rPr>
        <w:t xml:space="preserve">Processadores de pagamento.</w:t>
      </w:r>
      <w:r>
        <w:t xml:space="preserve"> A Plataforma utiliza dois processadores: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6F2F1" w:color="auto" w:val="clear"/>
            <w:tcMar>
              <w:top w:type="dxa" w:w="60"/>
              <w:left w:type="dxa" w:w="100"/>
              <w:bottom w:type="dxa" w:w="60"/>
              <w:right w:type="dxa" w:w="100"/>
            </w:tcMar>
          </w:tcPr>
          <w:p>
            <w:r>
              <w:rPr>
                <w:b/>
                <w:bCs/>
                <w:sz w:val="19"/>
                <w:szCs w:val="19"/>
              </w:rPr>
              <w:t xml:space="preserve">Processador</w:t>
            </w:r>
          </w:p>
        </w:tc>
        <w:tc>
          <w:tcPr>
            <w:tcW w:type="dxa" w:w="4819"/>
            <w:shd w:fill="E6F2F1" w:color="auto" w:val="clear"/>
            <w:tcMar>
              <w:top w:type="dxa" w:w="60"/>
              <w:left w:type="dxa" w:w="100"/>
              <w:bottom w:type="dxa" w:w="60"/>
              <w:right w:type="dxa" w:w="100"/>
            </w:tcMar>
          </w:tcPr>
          <w:p>
            <w:r>
              <w:rPr>
                <w:b/>
                <w:bCs/>
                <w:sz w:val="19"/>
                <w:szCs w:val="19"/>
              </w:rPr>
              <w:t xml:space="preserve">Países</w:t>
            </w:r>
          </w:p>
        </w:tc>
      </w:tr>
      <w:tr>
        <w:trPr>
          <w:tblHeader w:val="off"/>
        </w:trPr>
        <w:tc>
          <w:tcPr>
            <w:tcW w:type="dxa" w:w="4819"/>
            <w:tcMar>
              <w:top w:type="dxa" w:w="60"/>
              <w:left w:type="dxa" w:w="100"/>
              <w:bottom w:type="dxa" w:w="60"/>
              <w:right w:type="dxa" w:w="100"/>
            </w:tcMar>
          </w:tcPr>
          <w:p>
            <w:r>
              <w:rPr>
                <w:b/>
                <w:bCs/>
                <w:sz w:val="19"/>
                <w:szCs w:val="19"/>
              </w:rPr>
              <w:t xml:space="preserve">Mercado Pago</w:t>
            </w:r>
          </w:p>
        </w:tc>
        <w:tc>
          <w:tcPr>
            <w:tcW w:type="dxa" w:w="4819"/>
            <w:tcMar>
              <w:top w:type="dxa" w:w="60"/>
              <w:left w:type="dxa" w:w="100"/>
              <w:bottom w:type="dxa" w:w="60"/>
              <w:right w:type="dxa" w:w="100"/>
            </w:tcMar>
          </w:tcPr>
          <w:p>
            <w:r>
              <w:rPr>
                <w:sz w:val="19"/>
                <w:szCs w:val="19"/>
              </w:rPr>
              <w:t xml:space="preserve">Brasil, Argentina, Chile, Colômbia, México, Peru e Uruguai</w:t>
            </w:r>
          </w:p>
        </w:tc>
      </w:tr>
      <w:tr>
        <w:trPr>
          <w:tblHeader w:val="off"/>
        </w:trPr>
        <w:tc>
          <w:tcPr>
            <w:tcW w:type="dxa" w:w="4819"/>
            <w:tcMar>
              <w:top w:type="dxa" w:w="60"/>
              <w:left w:type="dxa" w:w="100"/>
              <w:bottom w:type="dxa" w:w="60"/>
              <w:right w:type="dxa" w:w="100"/>
            </w:tcMar>
          </w:tcPr>
          <w:p>
            <w:r>
              <w:rPr>
                <w:b/>
                <w:bCs/>
                <w:sz w:val="19"/>
                <w:szCs w:val="19"/>
              </w:rPr>
              <w:t xml:space="preserve">Stripe</w:t>
            </w:r>
          </w:p>
        </w:tc>
        <w:tc>
          <w:tcPr>
            <w:tcW w:type="dxa" w:w="4819"/>
            <w:tcMar>
              <w:top w:type="dxa" w:w="60"/>
              <w:left w:type="dxa" w:w="100"/>
              <w:bottom w:type="dxa" w:w="60"/>
              <w:right w:type="dxa" w:w="100"/>
            </w:tcMar>
          </w:tcPr>
          <w:p>
            <w:r>
              <w:rPr>
                <w:sz w:val="19"/>
                <w:szCs w:val="19"/>
              </w:rPr>
              <w:t xml:space="preserve">Demais países atendidos e operações internacionais</w:t>
            </w:r>
          </w:p>
        </w:tc>
      </w:tr>
    </w:tbl>
    <w:p/>
    <w:p>
      <w:pPr>
        <w:spacing w:after="120"/>
        <w:jc w:val="both"/>
      </w:pPr>
      <w:r>
        <w:t xml:space="preserve">1.4. O processador aplicável é definido pelo país do Espaço e indicado no resumo da Reserva. Anfitriões podem ter de aceitar os termos do processador e fornecer a ele os dados de identificação e bancários exigidos por sua regulação (KYC) para receber repasses.</w:t>
      </w:r>
    </w:p>
    <w:p>
      <w:pPr>
        <w:spacing w:after="120"/>
        <w:jc w:val="both"/>
      </w:pPr>
      <w:r>
        <w:t xml:space="preserve">1.5. </w:t>
      </w:r>
      <w:r>
        <w:rPr>
          <w:b/>
          <w:bCs/>
        </w:rPr>
        <w:t xml:space="preserve">Dados de cartão.</w:t>
      </w:r>
      <w:r>
        <w:t xml:space="preserve"> Os dados de cartão são digitados diretamente nos campos seguros ou nos aplicativos do Mercado Pago ou da Stripe, certificados PCI DSS, e </w:t>
      </w:r>
      <w:r>
        <w:rPr>
          <w:b/>
          <w:bCs/>
        </w:rPr>
        <w:t xml:space="preserve">nunca transitam nem são armazenados nos servidores da Plataforma</w:t>
      </w:r>
      <w:r>
        <w:t xml:space="preserve">. A Plataforma recebe apenas um </w:t>
      </w:r>
      <w:r>
        <w:rPr>
          <w:i/>
          <w:iCs/>
        </w:rPr>
        <w:t xml:space="preserve">token</w:t>
      </w:r>
      <w:r>
        <w:t xml:space="preserve">, a bandeira, os últimos dígitos e a validade, para exibição e cobranças autorizadas.</w:t>
      </w:r>
    </w:p>
    <w:p>
      <w:pPr>
        <w:pStyle w:val="Heading2"/>
      </w:pPr>
      <w:r>
        <w:t xml:space="preserve">2. Moeda</w:t>
      </w:r>
    </w:p>
    <w:p>
      <w:pPr>
        <w:spacing w:after="120"/>
        <w:jc w:val="both"/>
      </w:pPr>
      <w:r>
        <w:t xml:space="preserve">2.1. Todo Espaço é precificado na </w:t>
      </w:r>
      <w:r>
        <w:rPr>
          <w:b/>
          <w:bCs/>
        </w:rPr>
        <w:t xml:space="preserve">moeda oficial do país onde está localizado</w:t>
      </w:r>
      <w:r>
        <w:t xml:space="preserve"> (por exemplo, BRL no Brasil, EUR em Portugal, USD nos Estados Unidos, no Equador, no Panamá e em El Salvador). A Reserva é cobrada nessa moeda.</w:t>
      </w:r>
    </w:p>
    <w:p>
      <w:pPr>
        <w:spacing w:after="120"/>
        <w:jc w:val="both"/>
      </w:pPr>
      <w:r>
        <w:t xml:space="preserve">2.2. A Plataforma pode exibir valores aproximados na moeda do Locatário apenas para referência. Se o meio de pagamento do Locatário estiver em outra moeda, a </w:t>
      </w:r>
      <w:r>
        <w:rPr>
          <w:b/>
          <w:bCs/>
        </w:rPr>
        <w:t xml:space="preserve">conversão é feita pelo emissor</w:t>
      </w:r>
      <w:r>
        <w:t xml:space="preserve"> do cartão ou da conta, com taxa, tarifas e tributos (como o IOF no Brasil) definidos por ele, sobre os quais a Operadora não tem controle.</w:t>
      </w:r>
    </w:p>
    <w:p>
      <w:pPr>
        <w:spacing w:after="120"/>
        <w:jc w:val="both"/>
      </w:pPr>
      <w:r>
        <w:t xml:space="preserve">2.3. Valores são arredondados conforme as casas decimais da moeda (por exemplo, zero casas para JPY e CLP).</w:t>
      </w:r>
    </w:p>
    <w:p>
      <w:pPr>
        <w:pStyle w:val="Heading2"/>
      </w:pPr>
      <w:r>
        <w:t xml:space="preserve">3. Composição do preço</w:t>
      </w:r>
    </w:p>
    <w:p>
      <w:pPr>
        <w:spacing w:after="120"/>
        <w:jc w:val="both"/>
      </w:pPr>
      <w:r>
        <w:t xml:space="preserve">3.1. O total pago pelo Locatário é composto por: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6F2F1" w:color="auto" w:val="clear"/>
            <w:tcMar>
              <w:top w:type="dxa" w:w="60"/>
              <w:left w:type="dxa" w:w="100"/>
              <w:bottom w:type="dxa" w:w="60"/>
              <w:right w:type="dxa" w:w="100"/>
            </w:tcMar>
          </w:tcPr>
          <w:p>
            <w:r>
              <w:rPr>
                <w:b/>
                <w:bCs/>
                <w:sz w:val="19"/>
                <w:szCs w:val="19"/>
              </w:rPr>
              <w:t xml:space="preserve">Componente</w:t>
            </w:r>
          </w:p>
        </w:tc>
        <w:tc>
          <w:tcPr>
            <w:tcW w:type="dxa" w:w="4819"/>
            <w:shd w:fill="E6F2F1" w:color="auto" w:val="clear"/>
            <w:tcMar>
              <w:top w:type="dxa" w:w="60"/>
              <w:left w:type="dxa" w:w="100"/>
              <w:bottom w:type="dxa" w:w="60"/>
              <w:right w:type="dxa" w:w="100"/>
            </w:tcMar>
          </w:tcPr>
          <w:p>
            <w:r>
              <w:rPr>
                <w:b/>
                <w:bCs/>
                <w:sz w:val="19"/>
                <w:szCs w:val="19"/>
              </w:rPr>
              <w:t xml:space="preserve">Cálculo</w:t>
            </w:r>
          </w:p>
        </w:tc>
      </w:tr>
      <w:tr>
        <w:trPr>
          <w:tblHeader w:val="off"/>
        </w:trPr>
        <w:tc>
          <w:tcPr>
            <w:tcW w:type="dxa" w:w="4819"/>
            <w:tcMar>
              <w:top w:type="dxa" w:w="60"/>
              <w:left w:type="dxa" w:w="100"/>
              <w:bottom w:type="dxa" w:w="60"/>
              <w:right w:type="dxa" w:w="100"/>
            </w:tcMar>
          </w:tcPr>
          <w:p>
            <w:r>
              <w:rPr>
                <w:sz w:val="19"/>
                <w:szCs w:val="19"/>
              </w:rPr>
              <w:t xml:space="preserve">Valor Base</w:t>
            </w:r>
          </w:p>
        </w:tc>
        <w:tc>
          <w:tcPr>
            <w:tcW w:type="dxa" w:w="4819"/>
            <w:tcMar>
              <w:top w:type="dxa" w:w="60"/>
              <w:left w:type="dxa" w:w="100"/>
              <w:bottom w:type="dxa" w:w="60"/>
              <w:right w:type="dxa" w:w="100"/>
            </w:tcMar>
          </w:tcPr>
          <w:p>
            <w:r>
              <w:rPr>
                <w:sz w:val="19"/>
                <w:szCs w:val="19"/>
              </w:rPr>
              <w:t xml:space="preserve">Soma, por Ocorrência, de horas × preço por hora, ou preço de diária para Ocorrências de 6 horas ou mais quando mais vantajoso</w:t>
            </w:r>
          </w:p>
        </w:tc>
      </w:tr>
      <w:tr>
        <w:trPr>
          <w:tblHeader w:val="off"/>
        </w:trPr>
        <w:tc>
          <w:tcPr>
            <w:tcW w:type="dxa" w:w="4819"/>
            <w:tcMar>
              <w:top w:type="dxa" w:w="60"/>
              <w:left w:type="dxa" w:w="100"/>
              <w:bottom w:type="dxa" w:w="60"/>
              <w:right w:type="dxa" w:w="100"/>
            </w:tcMar>
          </w:tcPr>
          <w:p>
            <w:r>
              <w:rPr>
                <w:sz w:val="19"/>
                <w:szCs w:val="19"/>
              </w:rPr>
              <w:t xml:space="preserve">Taxa de Limpeza</w:t>
            </w:r>
          </w:p>
        </w:tc>
        <w:tc>
          <w:tcPr>
            <w:tcW w:type="dxa" w:w="4819"/>
            <w:tcMar>
              <w:top w:type="dxa" w:w="60"/>
              <w:left w:type="dxa" w:w="100"/>
              <w:bottom w:type="dxa" w:w="60"/>
              <w:right w:type="dxa" w:w="100"/>
            </w:tcMar>
          </w:tcPr>
          <w:p>
            <w:r>
              <w:rPr>
                <w:sz w:val="19"/>
                <w:szCs w:val="19"/>
              </w:rPr>
              <w:t xml:space="preserve">Valor fixo por Ocorrência, definido pelo Anfitrião, limitado a 30% do Valor Base</w:t>
            </w:r>
          </w:p>
        </w:tc>
      </w:tr>
      <w:tr>
        <w:trPr>
          <w:tblHeader w:val="off"/>
        </w:trPr>
        <w:tc>
          <w:tcPr>
            <w:tcW w:type="dxa" w:w="4819"/>
            <w:tcMar>
              <w:top w:type="dxa" w:w="60"/>
              <w:left w:type="dxa" w:w="100"/>
              <w:bottom w:type="dxa" w:w="60"/>
              <w:right w:type="dxa" w:w="100"/>
            </w:tcMar>
          </w:tcPr>
          <w:p>
            <w:r>
              <w:rPr>
                <w:sz w:val="19"/>
                <w:szCs w:val="19"/>
              </w:rPr>
              <w:t xml:space="preserve">Taxa de Serviço do Locatário</w:t>
            </w:r>
          </w:p>
        </w:tc>
        <w:tc>
          <w:tcPr>
            <w:tcW w:type="dxa" w:w="4819"/>
            <w:tcMar>
              <w:top w:type="dxa" w:w="60"/>
              <w:left w:type="dxa" w:w="100"/>
              <w:bottom w:type="dxa" w:w="60"/>
              <w:right w:type="dxa" w:w="100"/>
            </w:tcMar>
          </w:tcPr>
          <w:p>
            <w:r>
              <w:rPr>
                <w:b/>
                <w:bCs/>
                <w:sz w:val="19"/>
                <w:szCs w:val="19"/>
              </w:rPr>
              <w:t xml:space="preserve">15%</w:t>
            </w:r>
            <w:r>
              <w:rPr>
                <w:sz w:val="19"/>
                <w:szCs w:val="19"/>
              </w:rPr>
              <w:t xml:space="preserve"> sobre (Valor Base + Taxa de Limpeza)</w:t>
            </w:r>
          </w:p>
        </w:tc>
      </w:tr>
      <w:tr>
        <w:trPr>
          <w:tblHeader w:val="off"/>
        </w:trPr>
        <w:tc>
          <w:tcPr>
            <w:tcW w:type="dxa" w:w="4819"/>
            <w:tcMar>
              <w:top w:type="dxa" w:w="60"/>
              <w:left w:type="dxa" w:w="100"/>
              <w:bottom w:type="dxa" w:w="60"/>
              <w:right w:type="dxa" w:w="100"/>
            </w:tcMar>
          </w:tcPr>
          <w:p>
            <w:r>
              <w:rPr>
                <w:sz w:val="19"/>
                <w:szCs w:val="19"/>
              </w:rPr>
              <w:t xml:space="preserve">Tributo sobre a Taxa de Serviço</w:t>
            </w:r>
          </w:p>
        </w:tc>
        <w:tc>
          <w:tcPr>
            <w:tcW w:type="dxa" w:w="4819"/>
            <w:tcMar>
              <w:top w:type="dxa" w:w="60"/>
              <w:left w:type="dxa" w:w="100"/>
              <w:bottom w:type="dxa" w:w="60"/>
              <w:right w:type="dxa" w:w="100"/>
            </w:tcMar>
          </w:tcPr>
          <w:p>
            <w:r>
              <w:rPr>
                <w:sz w:val="19"/>
                <w:szCs w:val="19"/>
              </w:rPr>
              <w:t xml:space="preserve">Alíquota de referência do país (ex.: ISS 5% no Brasil, IVA 16% no México, IVA 23% em Portugal) aplicada sobre a Taxa de Serviço</w:t>
            </w:r>
          </w:p>
        </w:tc>
      </w:tr>
      <w:tr>
        <w:trPr>
          <w:tblHeader w:val="off"/>
        </w:trPr>
        <w:tc>
          <w:tcPr>
            <w:tcW w:type="dxa" w:w="4819"/>
            <w:tcMar>
              <w:top w:type="dxa" w:w="60"/>
              <w:left w:type="dxa" w:w="100"/>
              <w:bottom w:type="dxa" w:w="60"/>
              <w:right w:type="dxa" w:w="100"/>
            </w:tcMar>
          </w:tcPr>
          <w:p>
            <w:r>
              <w:rPr>
                <w:b/>
                <w:bCs/>
                <w:sz w:val="19"/>
                <w:szCs w:val="19"/>
              </w:rPr>
              <w:t xml:space="preserve">Total</w:t>
            </w:r>
          </w:p>
        </w:tc>
        <w:tc>
          <w:tcPr>
            <w:tcW w:type="dxa" w:w="4819"/>
            <w:tcMar>
              <w:top w:type="dxa" w:w="60"/>
              <w:left w:type="dxa" w:w="100"/>
              <w:bottom w:type="dxa" w:w="60"/>
              <w:right w:type="dxa" w:w="100"/>
            </w:tcMar>
          </w:tcPr>
          <w:p>
            <w:r>
              <w:rPr>
                <w:sz w:val="19"/>
                <w:szCs w:val="19"/>
              </w:rPr>
              <w:t xml:space="preserve">Soma dos itens acima</w:t>
            </w:r>
          </w:p>
        </w:tc>
      </w:tr>
    </w:tbl>
    <w:p/>
    <w:p>
      <w:pPr>
        <w:spacing w:after="120"/>
        <w:jc w:val="both"/>
      </w:pPr>
      <w:r>
        <w:t xml:space="preserve">3.2. O repasse ao Anfitrião 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6F2F1" w:color="auto" w:val="clear"/>
            <w:tcMar>
              <w:top w:type="dxa" w:w="60"/>
              <w:left w:type="dxa" w:w="100"/>
              <w:bottom w:type="dxa" w:w="60"/>
              <w:right w:type="dxa" w:w="100"/>
            </w:tcMar>
          </w:tcPr>
          <w:p>
            <w:r>
              <w:rPr>
                <w:b/>
                <w:bCs/>
                <w:sz w:val="19"/>
                <w:szCs w:val="19"/>
              </w:rPr>
              <w:t xml:space="preserve">Componente</w:t>
            </w:r>
          </w:p>
        </w:tc>
        <w:tc>
          <w:tcPr>
            <w:tcW w:type="dxa" w:w="4819"/>
            <w:shd w:fill="E6F2F1" w:color="auto" w:val="clear"/>
            <w:tcMar>
              <w:top w:type="dxa" w:w="60"/>
              <w:left w:type="dxa" w:w="100"/>
              <w:bottom w:type="dxa" w:w="60"/>
              <w:right w:type="dxa" w:w="100"/>
            </w:tcMar>
          </w:tcPr>
          <w:p>
            <w:r>
              <w:rPr>
                <w:b/>
                <w:bCs/>
                <w:sz w:val="19"/>
                <w:szCs w:val="19"/>
              </w:rPr>
              <w:t xml:space="preserve">Cálculo</w:t>
            </w:r>
          </w:p>
        </w:tc>
      </w:tr>
      <w:tr>
        <w:trPr>
          <w:tblHeader w:val="off"/>
        </w:trPr>
        <w:tc>
          <w:tcPr>
            <w:tcW w:type="dxa" w:w="4819"/>
            <w:tcMar>
              <w:top w:type="dxa" w:w="60"/>
              <w:left w:type="dxa" w:w="100"/>
              <w:bottom w:type="dxa" w:w="60"/>
              <w:right w:type="dxa" w:w="100"/>
            </w:tcMar>
          </w:tcPr>
          <w:p>
            <w:r>
              <w:rPr>
                <w:sz w:val="19"/>
                <w:szCs w:val="19"/>
              </w:rPr>
              <w:t xml:space="preserve">Valor Base + Taxa de Limpeza</w:t>
            </w:r>
          </w:p>
        </w:tc>
        <w:tc>
          <w:tcPr>
            <w:tcW w:type="dxa" w:w="4819"/>
            <w:tcMar>
              <w:top w:type="dxa" w:w="60"/>
              <w:left w:type="dxa" w:w="100"/>
              <w:bottom w:type="dxa" w:w="60"/>
              <w:right w:type="dxa" w:w="100"/>
            </w:tcMar>
          </w:tcPr>
          <w:p>
            <w:r>
              <w:rPr>
                <w:sz w:val="19"/>
                <w:szCs w:val="19"/>
              </w:rPr>
              <w:t xml:space="preserve">Integral</w:t>
            </w:r>
          </w:p>
        </w:tc>
      </w:tr>
      <w:tr>
        <w:trPr>
          <w:tblHeader w:val="off"/>
        </w:trPr>
        <w:tc>
          <w:tcPr>
            <w:tcW w:type="dxa" w:w="4819"/>
            <w:tcMar>
              <w:top w:type="dxa" w:w="60"/>
              <w:left w:type="dxa" w:w="100"/>
              <w:bottom w:type="dxa" w:w="60"/>
              <w:right w:type="dxa" w:w="100"/>
            </w:tcMar>
          </w:tcPr>
          <w:p>
            <w:r>
              <w:rPr>
                <w:sz w:val="19"/>
                <w:szCs w:val="19"/>
              </w:rPr>
              <w:t xml:space="preserve">(–) Taxa de Serviço do Anfitrião</w:t>
            </w:r>
          </w:p>
        </w:tc>
        <w:tc>
          <w:tcPr>
            <w:tcW w:type="dxa" w:w="4819"/>
            <w:tcMar>
              <w:top w:type="dxa" w:w="60"/>
              <w:left w:type="dxa" w:w="100"/>
              <w:bottom w:type="dxa" w:w="60"/>
              <w:right w:type="dxa" w:w="100"/>
            </w:tcMar>
          </w:tcPr>
          <w:p>
            <w:r>
              <w:rPr>
                <w:b/>
                <w:bCs/>
                <w:sz w:val="19"/>
                <w:szCs w:val="19"/>
              </w:rPr>
              <w:t xml:space="preserve">5%</w:t>
            </w:r>
            <w:r>
              <w:rPr>
                <w:sz w:val="19"/>
                <w:szCs w:val="19"/>
              </w:rPr>
              <w:t xml:space="preserve"> sobre (Valor Base + Taxa de Limpeza)</w:t>
            </w:r>
          </w:p>
        </w:tc>
      </w:tr>
      <w:tr>
        <w:trPr>
          <w:tblHeader w:val="off"/>
        </w:trPr>
        <w:tc>
          <w:tcPr>
            <w:tcW w:type="dxa" w:w="4819"/>
            <w:tcMar>
              <w:top w:type="dxa" w:w="60"/>
              <w:left w:type="dxa" w:w="100"/>
              <w:bottom w:type="dxa" w:w="60"/>
              <w:right w:type="dxa" w:w="100"/>
            </w:tcMar>
          </w:tcPr>
          <w:p>
            <w:r>
              <w:rPr>
                <w:sz w:val="19"/>
                <w:szCs w:val="19"/>
              </w:rPr>
              <w:t xml:space="preserve">(–) Retenções legais, multas e ajustes</w:t>
            </w:r>
          </w:p>
        </w:tc>
        <w:tc>
          <w:tcPr>
            <w:tcW w:type="dxa" w:w="4819"/>
            <w:tcMar>
              <w:top w:type="dxa" w:w="60"/>
              <w:left w:type="dxa" w:w="100"/>
              <w:bottom w:type="dxa" w:w="60"/>
              <w:right w:type="dxa" w:w="100"/>
            </w:tcMar>
          </w:tcPr>
          <w:p>
            <w:r>
              <w:rPr>
                <w:sz w:val="19"/>
                <w:szCs w:val="19"/>
              </w:rPr>
              <w:t xml:space="preserve">Quando aplicáveis</w:t>
            </w:r>
          </w:p>
        </w:tc>
      </w:tr>
      <w:tr>
        <w:trPr>
          <w:tblHeader w:val="off"/>
        </w:trPr>
        <w:tc>
          <w:tcPr>
            <w:tcW w:type="dxa" w:w="4819"/>
            <w:tcMar>
              <w:top w:type="dxa" w:w="60"/>
              <w:left w:type="dxa" w:w="100"/>
              <w:bottom w:type="dxa" w:w="60"/>
              <w:right w:type="dxa" w:w="100"/>
            </w:tcMar>
          </w:tcPr>
          <w:p>
            <w:r>
              <w:rPr>
                <w:b/>
                <w:bCs/>
                <w:sz w:val="19"/>
                <w:szCs w:val="19"/>
              </w:rPr>
              <w:t xml:space="preserve">Repasse</w:t>
            </w:r>
          </w:p>
        </w:tc>
        <w:tc>
          <w:tcPr>
            <w:tcW w:type="dxa" w:w="4819"/>
            <w:tcMar>
              <w:top w:type="dxa" w:w="60"/>
              <w:left w:type="dxa" w:w="100"/>
              <w:bottom w:type="dxa" w:w="60"/>
              <w:right w:type="dxa" w:w="100"/>
            </w:tcMar>
          </w:tcPr>
          <w:p>
            <w:r>
              <w:rPr>
                <w:sz w:val="19"/>
                <w:szCs w:val="19"/>
              </w:rPr>
              <w:t xml:space="preserve">Resultado</w:t>
            </w:r>
          </w:p>
        </w:tc>
      </w:tr>
    </w:tbl>
    <w:p/>
    <w:p>
      <w:pPr>
        <w:spacing w:after="120"/>
        <w:jc w:val="both"/>
      </w:pPr>
      <w:r>
        <w:t xml:space="preserve">3.3. </w:t>
      </w:r>
      <w:r>
        <w:rPr>
          <w:b/>
          <w:bCs/>
        </w:rPr>
        <w:t xml:space="preserve">Exemplo (Brasil).</w:t>
      </w:r>
      <w:r>
        <w:t xml:space="preserve"> Reserva de 4 horas a R$ 80/hora, Taxa de Limpeza de R$ 30. Valor Base: R$ 320. Taxa de Serviço do Locatário: 15% × R$ 350 = R$ 52,50. ISS de referência (5%) sobre a Taxa de Serviço: R$ 2,63. Total pago: R$ 405,13. Taxa do Anfitrião: 5% × R$ 350 = R$ 17,50. Repasse ao Anfitrião: R$ 332,50.</w:t>
      </w:r>
    </w:p>
    <w:p>
      <w:pPr>
        <w:spacing w:after="120"/>
        <w:jc w:val="both"/>
      </w:pPr>
      <w:r>
        <w:t xml:space="preserve">3.4. O detalhamento completo é exibido antes da confirmação. Não há cobranças ocultas. Onde a lei exigir que o preço anunciado já inclua todas as taxas obrigatórias (por exemplo, Reino Unido, Austrália, Califórnia e Índia), o preço exibido nas buscas e no Anúncio inclui a Taxa de Serviço e a Taxa de Limpeza.</w:t>
      </w:r>
    </w:p>
    <w:p>
      <w:pPr>
        <w:pStyle w:val="Heading2"/>
      </w:pPr>
      <w:r>
        <w:t xml:space="preserve">4. Meios de pagamento por país</w:t>
      </w:r>
    </w:p>
    <w:p>
      <w:pPr>
        <w:spacing w:after="120"/>
        <w:jc w:val="both"/>
      </w:pPr>
      <w:r>
        <w:t xml:space="preserve">4.1. Os meios aceitos variam por país do Espaço: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6F2F1" w:color="auto" w:val="clear"/>
            <w:tcMar>
              <w:top w:type="dxa" w:w="60"/>
              <w:left w:type="dxa" w:w="100"/>
              <w:bottom w:type="dxa" w:w="60"/>
              <w:right w:type="dxa" w:w="100"/>
            </w:tcMar>
          </w:tcPr>
          <w:p>
            <w:r>
              <w:rPr>
                <w:b/>
                <w:bCs/>
                <w:sz w:val="19"/>
                <w:szCs w:val="19"/>
              </w:rPr>
              <w:t xml:space="preserve">País</w:t>
            </w:r>
          </w:p>
        </w:tc>
        <w:tc>
          <w:tcPr>
            <w:tcW w:type="dxa" w:w="4819"/>
            <w:shd w:fill="E6F2F1" w:color="auto" w:val="clear"/>
            <w:tcMar>
              <w:top w:type="dxa" w:w="60"/>
              <w:left w:type="dxa" w:w="100"/>
              <w:bottom w:type="dxa" w:w="60"/>
              <w:right w:type="dxa" w:w="100"/>
            </w:tcMar>
          </w:tcPr>
          <w:p>
            <w:r>
              <w:rPr>
                <w:b/>
                <w:bCs/>
                <w:sz w:val="19"/>
                <w:szCs w:val="19"/>
              </w:rPr>
              <w:t xml:space="preserve">Meios de pagamento</w:t>
            </w:r>
          </w:p>
        </w:tc>
      </w:tr>
      <w:tr>
        <w:trPr>
          <w:tblHeader w:val="off"/>
        </w:trPr>
        <w:tc>
          <w:tcPr>
            <w:tcW w:type="dxa" w:w="4819"/>
            <w:tcMar>
              <w:top w:type="dxa" w:w="60"/>
              <w:left w:type="dxa" w:w="100"/>
              <w:bottom w:type="dxa" w:w="60"/>
              <w:right w:type="dxa" w:w="100"/>
            </w:tcMar>
          </w:tcPr>
          <w:p>
            <w:r>
              <w:rPr>
                <w:sz w:val="19"/>
                <w:szCs w:val="19"/>
              </w:rPr>
              <w:t xml:space="preserve">Brasil</w:t>
            </w:r>
          </w:p>
        </w:tc>
        <w:tc>
          <w:tcPr>
            <w:tcW w:type="dxa" w:w="4819"/>
            <w:tcMar>
              <w:top w:type="dxa" w:w="60"/>
              <w:left w:type="dxa" w:w="100"/>
              <w:bottom w:type="dxa" w:w="60"/>
              <w:right w:type="dxa" w:w="100"/>
            </w:tcMar>
          </w:tcPr>
          <w:p>
            <w:r>
              <w:rPr>
                <w:sz w:val="19"/>
                <w:szCs w:val="19"/>
              </w:rPr>
              <w:t xml:space="preserve">Pix, cartão, boleto bancário, Apple Pay, Google Pay, Mercado Pago</w:t>
            </w:r>
          </w:p>
        </w:tc>
      </w:tr>
      <w:tr>
        <w:trPr>
          <w:tblHeader w:val="off"/>
        </w:trPr>
        <w:tc>
          <w:tcPr>
            <w:tcW w:type="dxa" w:w="4819"/>
            <w:tcMar>
              <w:top w:type="dxa" w:w="60"/>
              <w:left w:type="dxa" w:w="100"/>
              <w:bottom w:type="dxa" w:w="60"/>
              <w:right w:type="dxa" w:w="100"/>
            </w:tcMar>
          </w:tcPr>
          <w:p>
            <w:r>
              <w:rPr>
                <w:sz w:val="19"/>
                <w:szCs w:val="19"/>
              </w:rPr>
              <w:t xml:space="preserve">Argentina</w:t>
            </w:r>
          </w:p>
        </w:tc>
        <w:tc>
          <w:tcPr>
            <w:tcW w:type="dxa" w:w="4819"/>
            <w:tcMar>
              <w:top w:type="dxa" w:w="60"/>
              <w:left w:type="dxa" w:w="100"/>
              <w:bottom w:type="dxa" w:w="60"/>
              <w:right w:type="dxa" w:w="100"/>
            </w:tcMar>
          </w:tcPr>
          <w:p>
            <w:r>
              <w:rPr>
                <w:sz w:val="19"/>
                <w:szCs w:val="19"/>
              </w:rPr>
              <w:t xml:space="preserve">Cartão, Mercado Pago, transferência bancária</w:t>
            </w:r>
          </w:p>
        </w:tc>
      </w:tr>
      <w:tr>
        <w:trPr>
          <w:tblHeader w:val="off"/>
        </w:trPr>
        <w:tc>
          <w:tcPr>
            <w:tcW w:type="dxa" w:w="4819"/>
            <w:tcMar>
              <w:top w:type="dxa" w:w="60"/>
              <w:left w:type="dxa" w:w="100"/>
              <w:bottom w:type="dxa" w:w="60"/>
              <w:right w:type="dxa" w:w="100"/>
            </w:tcMar>
          </w:tcPr>
          <w:p>
            <w:r>
              <w:rPr>
                <w:sz w:val="19"/>
                <w:szCs w:val="19"/>
              </w:rPr>
              <w:t xml:space="preserve">Bolívia</w:t>
            </w:r>
          </w:p>
        </w:tc>
        <w:tc>
          <w:tcPr>
            <w:tcW w:type="dxa" w:w="4819"/>
            <w:tcMar>
              <w:top w:type="dxa" w:w="60"/>
              <w:left w:type="dxa" w:w="100"/>
              <w:bottom w:type="dxa" w:w="60"/>
              <w:right w:type="dxa" w:w="100"/>
            </w:tcMar>
          </w:tcPr>
          <w:p>
            <w:r>
              <w:rPr>
                <w:sz w:val="19"/>
                <w:szCs w:val="19"/>
              </w:rPr>
              <w:t xml:space="preserve">Cartão, transferência bancária</w:t>
            </w:r>
          </w:p>
        </w:tc>
      </w:tr>
      <w:tr>
        <w:trPr>
          <w:tblHeader w:val="off"/>
        </w:trPr>
        <w:tc>
          <w:tcPr>
            <w:tcW w:type="dxa" w:w="4819"/>
            <w:tcMar>
              <w:top w:type="dxa" w:w="60"/>
              <w:left w:type="dxa" w:w="100"/>
              <w:bottom w:type="dxa" w:w="60"/>
              <w:right w:type="dxa" w:w="100"/>
            </w:tcMar>
          </w:tcPr>
          <w:p>
            <w:r>
              <w:rPr>
                <w:sz w:val="19"/>
                <w:szCs w:val="19"/>
              </w:rPr>
              <w:t xml:space="preserve">Chile</w:t>
            </w:r>
          </w:p>
        </w:tc>
        <w:tc>
          <w:tcPr>
            <w:tcW w:type="dxa" w:w="4819"/>
            <w:tcMar>
              <w:top w:type="dxa" w:w="60"/>
              <w:left w:type="dxa" w:w="100"/>
              <w:bottom w:type="dxa" w:w="60"/>
              <w:right w:type="dxa" w:w="100"/>
            </w:tcMar>
          </w:tcPr>
          <w:p>
            <w:r>
              <w:rPr>
                <w:sz w:val="19"/>
                <w:szCs w:val="19"/>
              </w:rPr>
              <w:t xml:space="preserve">Cartão, Webpay, Mercado Pago, transferência bancária</w:t>
            </w:r>
          </w:p>
        </w:tc>
      </w:tr>
      <w:tr>
        <w:trPr>
          <w:tblHeader w:val="off"/>
        </w:trPr>
        <w:tc>
          <w:tcPr>
            <w:tcW w:type="dxa" w:w="4819"/>
            <w:tcMar>
              <w:top w:type="dxa" w:w="60"/>
              <w:left w:type="dxa" w:w="100"/>
              <w:bottom w:type="dxa" w:w="60"/>
              <w:right w:type="dxa" w:w="100"/>
            </w:tcMar>
          </w:tcPr>
          <w:p>
            <w:r>
              <w:rPr>
                <w:sz w:val="19"/>
                <w:szCs w:val="19"/>
              </w:rPr>
              <w:t xml:space="preserve">Colômbia</w:t>
            </w:r>
          </w:p>
        </w:tc>
        <w:tc>
          <w:tcPr>
            <w:tcW w:type="dxa" w:w="4819"/>
            <w:tcMar>
              <w:top w:type="dxa" w:w="60"/>
              <w:left w:type="dxa" w:w="100"/>
              <w:bottom w:type="dxa" w:w="60"/>
              <w:right w:type="dxa" w:w="100"/>
            </w:tcMar>
          </w:tcPr>
          <w:p>
            <w:r>
              <w:rPr>
                <w:sz w:val="19"/>
                <w:szCs w:val="19"/>
              </w:rPr>
              <w:t xml:space="preserve">Cartão, PSE, Mercado Pago, transferência bancária</w:t>
            </w:r>
          </w:p>
        </w:tc>
      </w:tr>
      <w:tr>
        <w:trPr>
          <w:tblHeader w:val="off"/>
        </w:trPr>
        <w:tc>
          <w:tcPr>
            <w:tcW w:type="dxa" w:w="4819"/>
            <w:tcMar>
              <w:top w:type="dxa" w:w="60"/>
              <w:left w:type="dxa" w:w="100"/>
              <w:bottom w:type="dxa" w:w="60"/>
              <w:right w:type="dxa" w:w="100"/>
            </w:tcMar>
          </w:tcPr>
          <w:p>
            <w:r>
              <w:rPr>
                <w:sz w:val="19"/>
                <w:szCs w:val="19"/>
              </w:rPr>
              <w:t xml:space="preserve">Equador</w:t>
            </w:r>
          </w:p>
        </w:tc>
        <w:tc>
          <w:tcPr>
            <w:tcW w:type="dxa" w:w="4819"/>
            <w:tcMar>
              <w:top w:type="dxa" w:w="60"/>
              <w:left w:type="dxa" w:w="100"/>
              <w:bottom w:type="dxa" w:w="60"/>
              <w:right w:type="dxa" w:w="100"/>
            </w:tcMar>
          </w:tcPr>
          <w:p>
            <w:r>
              <w:rPr>
                <w:sz w:val="19"/>
                <w:szCs w:val="19"/>
              </w:rPr>
              <w:t xml:space="preserve">Cartão, transferência bancária, PayPal</w:t>
            </w:r>
          </w:p>
        </w:tc>
      </w:tr>
      <w:tr>
        <w:trPr>
          <w:tblHeader w:val="off"/>
        </w:trPr>
        <w:tc>
          <w:tcPr>
            <w:tcW w:type="dxa" w:w="4819"/>
            <w:tcMar>
              <w:top w:type="dxa" w:w="60"/>
              <w:left w:type="dxa" w:w="100"/>
              <w:bottom w:type="dxa" w:w="60"/>
              <w:right w:type="dxa" w:w="100"/>
            </w:tcMar>
          </w:tcPr>
          <w:p>
            <w:r>
              <w:rPr>
                <w:sz w:val="19"/>
                <w:szCs w:val="19"/>
              </w:rPr>
              <w:t xml:space="preserve">Paraguai</w:t>
            </w:r>
          </w:p>
        </w:tc>
        <w:tc>
          <w:tcPr>
            <w:tcW w:type="dxa" w:w="4819"/>
            <w:tcMar>
              <w:top w:type="dxa" w:w="60"/>
              <w:left w:type="dxa" w:w="100"/>
              <w:bottom w:type="dxa" w:w="60"/>
              <w:right w:type="dxa" w:w="100"/>
            </w:tcMar>
          </w:tcPr>
          <w:p>
            <w:r>
              <w:rPr>
                <w:sz w:val="19"/>
                <w:szCs w:val="19"/>
              </w:rPr>
              <w:t xml:space="preserve">Cartão, transferência bancária</w:t>
            </w:r>
          </w:p>
        </w:tc>
      </w:tr>
      <w:tr>
        <w:trPr>
          <w:tblHeader w:val="off"/>
        </w:trPr>
        <w:tc>
          <w:tcPr>
            <w:tcW w:type="dxa" w:w="4819"/>
            <w:tcMar>
              <w:top w:type="dxa" w:w="60"/>
              <w:left w:type="dxa" w:w="100"/>
              <w:bottom w:type="dxa" w:w="60"/>
              <w:right w:type="dxa" w:w="100"/>
            </w:tcMar>
          </w:tcPr>
          <w:p>
            <w:r>
              <w:rPr>
                <w:sz w:val="19"/>
                <w:szCs w:val="19"/>
              </w:rPr>
              <w:t xml:space="preserve">Peru</w:t>
            </w:r>
          </w:p>
        </w:tc>
        <w:tc>
          <w:tcPr>
            <w:tcW w:type="dxa" w:w="4819"/>
            <w:tcMar>
              <w:top w:type="dxa" w:w="60"/>
              <w:left w:type="dxa" w:w="100"/>
              <w:bottom w:type="dxa" w:w="60"/>
              <w:right w:type="dxa" w:w="100"/>
            </w:tcMar>
          </w:tcPr>
          <w:p>
            <w:r>
              <w:rPr>
                <w:sz w:val="19"/>
                <w:szCs w:val="19"/>
              </w:rPr>
              <w:t xml:space="preserve">Cartão, Yape, Mercado Pago, transferência bancária</w:t>
            </w:r>
          </w:p>
        </w:tc>
      </w:tr>
      <w:tr>
        <w:trPr>
          <w:tblHeader w:val="off"/>
        </w:trPr>
        <w:tc>
          <w:tcPr>
            <w:tcW w:type="dxa" w:w="4819"/>
            <w:tcMar>
              <w:top w:type="dxa" w:w="60"/>
              <w:left w:type="dxa" w:w="100"/>
              <w:bottom w:type="dxa" w:w="60"/>
              <w:right w:type="dxa" w:w="100"/>
            </w:tcMar>
          </w:tcPr>
          <w:p>
            <w:r>
              <w:rPr>
                <w:sz w:val="19"/>
                <w:szCs w:val="19"/>
              </w:rPr>
              <w:t xml:space="preserve">Uruguai</w:t>
            </w:r>
          </w:p>
        </w:tc>
        <w:tc>
          <w:tcPr>
            <w:tcW w:type="dxa" w:w="4819"/>
            <w:tcMar>
              <w:top w:type="dxa" w:w="60"/>
              <w:left w:type="dxa" w:w="100"/>
              <w:bottom w:type="dxa" w:w="60"/>
              <w:right w:type="dxa" w:w="100"/>
            </w:tcMar>
          </w:tcPr>
          <w:p>
            <w:r>
              <w:rPr>
                <w:sz w:val="19"/>
                <w:szCs w:val="19"/>
              </w:rPr>
              <w:t xml:space="preserve">Cartão, Mercado Pago, transferência bancária</w:t>
            </w:r>
          </w:p>
        </w:tc>
      </w:tr>
      <w:tr>
        <w:trPr>
          <w:tblHeader w:val="off"/>
        </w:trPr>
        <w:tc>
          <w:tcPr>
            <w:tcW w:type="dxa" w:w="4819"/>
            <w:tcMar>
              <w:top w:type="dxa" w:w="60"/>
              <w:left w:type="dxa" w:w="100"/>
              <w:bottom w:type="dxa" w:w="60"/>
              <w:right w:type="dxa" w:w="100"/>
            </w:tcMar>
          </w:tcPr>
          <w:p>
            <w:r>
              <w:rPr>
                <w:sz w:val="19"/>
                <w:szCs w:val="19"/>
              </w:rPr>
              <w:t xml:space="preserve">Panamá</w:t>
            </w:r>
          </w:p>
        </w:tc>
        <w:tc>
          <w:tcPr>
            <w:tcW w:type="dxa" w:w="4819"/>
            <w:tcMar>
              <w:top w:type="dxa" w:w="60"/>
              <w:left w:type="dxa" w:w="100"/>
              <w:bottom w:type="dxa" w:w="60"/>
              <w:right w:type="dxa" w:w="100"/>
            </w:tcMar>
          </w:tcPr>
          <w:p>
            <w:r>
              <w:rPr>
                <w:sz w:val="19"/>
                <w:szCs w:val="19"/>
              </w:rPr>
              <w:t xml:space="preserve">Cartão, transferência bancária, PayPal</w:t>
            </w:r>
          </w:p>
        </w:tc>
      </w:tr>
      <w:tr>
        <w:trPr>
          <w:tblHeader w:val="off"/>
        </w:trPr>
        <w:tc>
          <w:tcPr>
            <w:tcW w:type="dxa" w:w="4819"/>
            <w:tcMar>
              <w:top w:type="dxa" w:w="60"/>
              <w:left w:type="dxa" w:w="100"/>
              <w:bottom w:type="dxa" w:w="60"/>
              <w:right w:type="dxa" w:w="100"/>
            </w:tcMar>
          </w:tcPr>
          <w:p>
            <w:r>
              <w:rPr>
                <w:sz w:val="19"/>
                <w:szCs w:val="19"/>
              </w:rPr>
              <w:t xml:space="preserve">Costa Rica</w:t>
            </w:r>
          </w:p>
        </w:tc>
        <w:tc>
          <w:tcPr>
            <w:tcW w:type="dxa" w:w="4819"/>
            <w:tcMar>
              <w:top w:type="dxa" w:w="60"/>
              <w:left w:type="dxa" w:w="100"/>
              <w:bottom w:type="dxa" w:w="60"/>
              <w:right w:type="dxa" w:w="100"/>
            </w:tcMar>
          </w:tcPr>
          <w:p>
            <w:r>
              <w:rPr>
                <w:sz w:val="19"/>
                <w:szCs w:val="19"/>
              </w:rPr>
              <w:t xml:space="preserve">Cartão, transferência bancária, PayPal</w:t>
            </w:r>
          </w:p>
        </w:tc>
      </w:tr>
      <w:tr>
        <w:trPr>
          <w:tblHeader w:val="off"/>
        </w:trPr>
        <w:tc>
          <w:tcPr>
            <w:tcW w:type="dxa" w:w="4819"/>
            <w:tcMar>
              <w:top w:type="dxa" w:w="60"/>
              <w:left w:type="dxa" w:w="100"/>
              <w:bottom w:type="dxa" w:w="60"/>
              <w:right w:type="dxa" w:w="100"/>
            </w:tcMar>
          </w:tcPr>
          <w:p>
            <w:r>
              <w:rPr>
                <w:sz w:val="19"/>
                <w:szCs w:val="19"/>
              </w:rPr>
              <w:t xml:space="preserve">Guatemala</w:t>
            </w:r>
          </w:p>
        </w:tc>
        <w:tc>
          <w:tcPr>
            <w:tcW w:type="dxa" w:w="4819"/>
            <w:tcMar>
              <w:top w:type="dxa" w:w="60"/>
              <w:left w:type="dxa" w:w="100"/>
              <w:bottom w:type="dxa" w:w="60"/>
              <w:right w:type="dxa" w:w="100"/>
            </w:tcMar>
          </w:tcPr>
          <w:p>
            <w:r>
              <w:rPr>
                <w:sz w:val="19"/>
                <w:szCs w:val="19"/>
              </w:rPr>
              <w:t xml:space="preserve">Cartão, transferência bancária</w:t>
            </w:r>
          </w:p>
        </w:tc>
      </w:tr>
      <w:tr>
        <w:trPr>
          <w:tblHeader w:val="off"/>
        </w:trPr>
        <w:tc>
          <w:tcPr>
            <w:tcW w:type="dxa" w:w="4819"/>
            <w:tcMar>
              <w:top w:type="dxa" w:w="60"/>
              <w:left w:type="dxa" w:w="100"/>
              <w:bottom w:type="dxa" w:w="60"/>
              <w:right w:type="dxa" w:w="100"/>
            </w:tcMar>
          </w:tcPr>
          <w:p>
            <w:r>
              <w:rPr>
                <w:sz w:val="19"/>
                <w:szCs w:val="19"/>
              </w:rPr>
              <w:t xml:space="preserve">El Salvador</w:t>
            </w:r>
          </w:p>
        </w:tc>
        <w:tc>
          <w:tcPr>
            <w:tcW w:type="dxa" w:w="4819"/>
            <w:tcMar>
              <w:top w:type="dxa" w:w="60"/>
              <w:left w:type="dxa" w:w="100"/>
              <w:bottom w:type="dxa" w:w="60"/>
              <w:right w:type="dxa" w:w="100"/>
            </w:tcMar>
          </w:tcPr>
          <w:p>
            <w:r>
              <w:rPr>
                <w:sz w:val="19"/>
                <w:szCs w:val="19"/>
              </w:rPr>
              <w:t xml:space="preserve">Cartão, transferência bancária</w:t>
            </w:r>
          </w:p>
        </w:tc>
      </w:tr>
      <w:tr>
        <w:trPr>
          <w:tblHeader w:val="off"/>
        </w:trPr>
        <w:tc>
          <w:tcPr>
            <w:tcW w:type="dxa" w:w="4819"/>
            <w:tcMar>
              <w:top w:type="dxa" w:w="60"/>
              <w:left w:type="dxa" w:w="100"/>
              <w:bottom w:type="dxa" w:w="60"/>
              <w:right w:type="dxa" w:w="100"/>
            </w:tcMar>
          </w:tcPr>
          <w:p>
            <w:r>
              <w:rPr>
                <w:sz w:val="19"/>
                <w:szCs w:val="19"/>
              </w:rPr>
              <w:t xml:space="preserve">Honduras</w:t>
            </w:r>
          </w:p>
        </w:tc>
        <w:tc>
          <w:tcPr>
            <w:tcW w:type="dxa" w:w="4819"/>
            <w:tcMar>
              <w:top w:type="dxa" w:w="60"/>
              <w:left w:type="dxa" w:w="100"/>
              <w:bottom w:type="dxa" w:w="60"/>
              <w:right w:type="dxa" w:w="100"/>
            </w:tcMar>
          </w:tcPr>
          <w:p>
            <w:r>
              <w:rPr>
                <w:sz w:val="19"/>
                <w:szCs w:val="19"/>
              </w:rPr>
              <w:t xml:space="preserve">Cartão, transferência bancária</w:t>
            </w:r>
          </w:p>
        </w:tc>
      </w:tr>
      <w:tr>
        <w:trPr>
          <w:tblHeader w:val="off"/>
        </w:trPr>
        <w:tc>
          <w:tcPr>
            <w:tcW w:type="dxa" w:w="4819"/>
            <w:tcMar>
              <w:top w:type="dxa" w:w="60"/>
              <w:left w:type="dxa" w:w="100"/>
              <w:bottom w:type="dxa" w:w="60"/>
              <w:right w:type="dxa" w:w="100"/>
            </w:tcMar>
          </w:tcPr>
          <w:p>
            <w:r>
              <w:rPr>
                <w:sz w:val="19"/>
                <w:szCs w:val="19"/>
              </w:rPr>
              <w:t xml:space="preserve">Nicarágua</w:t>
            </w:r>
          </w:p>
        </w:tc>
        <w:tc>
          <w:tcPr>
            <w:tcW w:type="dxa" w:w="4819"/>
            <w:tcMar>
              <w:top w:type="dxa" w:w="60"/>
              <w:left w:type="dxa" w:w="100"/>
              <w:bottom w:type="dxa" w:w="60"/>
              <w:right w:type="dxa" w:w="100"/>
            </w:tcMar>
          </w:tcPr>
          <w:p>
            <w:r>
              <w:rPr>
                <w:sz w:val="19"/>
                <w:szCs w:val="19"/>
              </w:rPr>
              <w:t xml:space="preserve">Cartão, transferência bancária</w:t>
            </w:r>
          </w:p>
        </w:tc>
      </w:tr>
      <w:tr>
        <w:trPr>
          <w:tblHeader w:val="off"/>
        </w:trPr>
        <w:tc>
          <w:tcPr>
            <w:tcW w:type="dxa" w:w="4819"/>
            <w:tcMar>
              <w:top w:type="dxa" w:w="60"/>
              <w:left w:type="dxa" w:w="100"/>
              <w:bottom w:type="dxa" w:w="60"/>
              <w:right w:type="dxa" w:w="100"/>
            </w:tcMar>
          </w:tcPr>
          <w:p>
            <w:r>
              <w:rPr>
                <w:sz w:val="19"/>
                <w:szCs w:val="19"/>
              </w:rPr>
              <w:t xml:space="preserve">Belize</w:t>
            </w:r>
          </w:p>
        </w:tc>
        <w:tc>
          <w:tcPr>
            <w:tcW w:type="dxa" w:w="4819"/>
            <w:tcMar>
              <w:top w:type="dxa" w:w="60"/>
              <w:left w:type="dxa" w:w="100"/>
              <w:bottom w:type="dxa" w:w="60"/>
              <w:right w:type="dxa" w:w="100"/>
            </w:tcMar>
          </w:tcPr>
          <w:p>
            <w:r>
              <w:rPr>
                <w:sz w:val="19"/>
                <w:szCs w:val="19"/>
              </w:rPr>
              <w:t xml:space="preserve">Cartão, transferência bancária, PayPal</w:t>
            </w:r>
          </w:p>
        </w:tc>
      </w:tr>
      <w:tr>
        <w:trPr>
          <w:tblHeader w:val="off"/>
        </w:trPr>
        <w:tc>
          <w:tcPr>
            <w:tcW w:type="dxa" w:w="4819"/>
            <w:tcMar>
              <w:top w:type="dxa" w:w="60"/>
              <w:left w:type="dxa" w:w="100"/>
              <w:bottom w:type="dxa" w:w="60"/>
              <w:right w:type="dxa" w:w="100"/>
            </w:tcMar>
          </w:tcPr>
          <w:p>
            <w:r>
              <w:rPr>
                <w:sz w:val="19"/>
                <w:szCs w:val="19"/>
              </w:rPr>
              <w:t xml:space="preserve">México</w:t>
            </w:r>
          </w:p>
        </w:tc>
        <w:tc>
          <w:tcPr>
            <w:tcW w:type="dxa" w:w="4819"/>
            <w:tcMar>
              <w:top w:type="dxa" w:w="60"/>
              <w:left w:type="dxa" w:w="100"/>
              <w:bottom w:type="dxa" w:w="60"/>
              <w:right w:type="dxa" w:w="100"/>
            </w:tcMar>
          </w:tcPr>
          <w:p>
            <w:r>
              <w:rPr>
                <w:sz w:val="19"/>
                <w:szCs w:val="19"/>
              </w:rPr>
              <w:t xml:space="preserve">Cartão, OXXO, SPEI, Mercado Pago, PayPal, Apple Pay, Google Pay</w:t>
            </w:r>
          </w:p>
        </w:tc>
      </w:tr>
      <w:tr>
        <w:trPr>
          <w:tblHeader w:val="off"/>
        </w:trPr>
        <w:tc>
          <w:tcPr>
            <w:tcW w:type="dxa" w:w="4819"/>
            <w:tcMar>
              <w:top w:type="dxa" w:w="60"/>
              <w:left w:type="dxa" w:w="100"/>
              <w:bottom w:type="dxa" w:w="60"/>
              <w:right w:type="dxa" w:w="100"/>
            </w:tcMar>
          </w:tcPr>
          <w:p>
            <w:r>
              <w:rPr>
                <w:sz w:val="19"/>
                <w:szCs w:val="19"/>
              </w:rPr>
              <w:t xml:space="preserve">Estados Unidos</w:t>
            </w:r>
          </w:p>
        </w:tc>
        <w:tc>
          <w:tcPr>
            <w:tcW w:type="dxa" w:w="4819"/>
            <w:tcMar>
              <w:top w:type="dxa" w:w="60"/>
              <w:left w:type="dxa" w:w="100"/>
              <w:bottom w:type="dxa" w:w="60"/>
              <w:right w:type="dxa" w:w="100"/>
            </w:tcMar>
          </w:tcPr>
          <w:p>
            <w:r>
              <w:rPr>
                <w:sz w:val="19"/>
                <w:szCs w:val="19"/>
              </w:rPr>
              <w:t xml:space="preserve">Cartão, ACH bank debit, Apple Pay, Google Pay, PayPal</w:t>
            </w:r>
          </w:p>
        </w:tc>
      </w:tr>
      <w:tr>
        <w:trPr>
          <w:tblHeader w:val="off"/>
        </w:trPr>
        <w:tc>
          <w:tcPr>
            <w:tcW w:type="dxa" w:w="4819"/>
            <w:tcMar>
              <w:top w:type="dxa" w:w="60"/>
              <w:left w:type="dxa" w:w="100"/>
              <w:bottom w:type="dxa" w:w="60"/>
              <w:right w:type="dxa" w:w="100"/>
            </w:tcMar>
          </w:tcPr>
          <w:p>
            <w:r>
              <w:rPr>
                <w:sz w:val="19"/>
                <w:szCs w:val="19"/>
              </w:rPr>
              <w:t xml:space="preserve">Canadá</w:t>
            </w:r>
          </w:p>
        </w:tc>
        <w:tc>
          <w:tcPr>
            <w:tcW w:type="dxa" w:w="4819"/>
            <w:tcMar>
              <w:top w:type="dxa" w:w="60"/>
              <w:left w:type="dxa" w:w="100"/>
              <w:bottom w:type="dxa" w:w="60"/>
              <w:right w:type="dxa" w:w="100"/>
            </w:tcMar>
          </w:tcPr>
          <w:p>
            <w:r>
              <w:rPr>
                <w:sz w:val="19"/>
                <w:szCs w:val="19"/>
              </w:rPr>
              <w:t xml:space="preserve">Cartão, Interac, Pre-authorized debit (PAD), Apple Pay, Google Pay, PayPal</w:t>
            </w:r>
          </w:p>
        </w:tc>
      </w:tr>
      <w:tr>
        <w:trPr>
          <w:tblHeader w:val="off"/>
        </w:trPr>
        <w:tc>
          <w:tcPr>
            <w:tcW w:type="dxa" w:w="4819"/>
            <w:tcMar>
              <w:top w:type="dxa" w:w="60"/>
              <w:left w:type="dxa" w:w="100"/>
              <w:bottom w:type="dxa" w:w="60"/>
              <w:right w:type="dxa" w:w="100"/>
            </w:tcMar>
          </w:tcPr>
          <w:p>
            <w:r>
              <w:rPr>
                <w:sz w:val="19"/>
                <w:szCs w:val="19"/>
              </w:rPr>
              <w:t xml:space="preserve">Portugal</w:t>
            </w:r>
          </w:p>
        </w:tc>
        <w:tc>
          <w:tcPr>
            <w:tcW w:type="dxa" w:w="4819"/>
            <w:tcMar>
              <w:top w:type="dxa" w:w="60"/>
              <w:left w:type="dxa" w:w="100"/>
              <w:bottom w:type="dxa" w:w="60"/>
              <w:right w:type="dxa" w:w="100"/>
            </w:tcMar>
          </w:tcPr>
          <w:p>
            <w:r>
              <w:rPr>
                <w:sz w:val="19"/>
                <w:szCs w:val="19"/>
              </w:rPr>
              <w:t xml:space="preserve">Cartão, MB WAY, Multibanco, SEPA Direct Debit, Apple Pay, Google Pay, PayPal</w:t>
            </w:r>
          </w:p>
        </w:tc>
      </w:tr>
      <w:tr>
        <w:trPr>
          <w:tblHeader w:val="off"/>
        </w:trPr>
        <w:tc>
          <w:tcPr>
            <w:tcW w:type="dxa" w:w="4819"/>
            <w:tcMar>
              <w:top w:type="dxa" w:w="60"/>
              <w:left w:type="dxa" w:w="100"/>
              <w:bottom w:type="dxa" w:w="60"/>
              <w:right w:type="dxa" w:w="100"/>
            </w:tcMar>
          </w:tcPr>
          <w:p>
            <w:r>
              <w:rPr>
                <w:sz w:val="19"/>
                <w:szCs w:val="19"/>
              </w:rPr>
              <w:t xml:space="preserve">Espanha</w:t>
            </w:r>
          </w:p>
        </w:tc>
        <w:tc>
          <w:tcPr>
            <w:tcW w:type="dxa" w:w="4819"/>
            <w:tcMar>
              <w:top w:type="dxa" w:w="60"/>
              <w:left w:type="dxa" w:w="100"/>
              <w:bottom w:type="dxa" w:w="60"/>
              <w:right w:type="dxa" w:w="100"/>
            </w:tcMar>
          </w:tcPr>
          <w:p>
            <w:r>
              <w:rPr>
                <w:sz w:val="19"/>
                <w:szCs w:val="19"/>
              </w:rPr>
              <w:t xml:space="preserve">Cartão, Bizum, SEPA Direct Debit, Apple Pay, Google Pay, PayPal</w:t>
            </w:r>
          </w:p>
        </w:tc>
      </w:tr>
      <w:tr>
        <w:trPr>
          <w:tblHeader w:val="off"/>
        </w:trPr>
        <w:tc>
          <w:tcPr>
            <w:tcW w:type="dxa" w:w="4819"/>
            <w:tcMar>
              <w:top w:type="dxa" w:w="60"/>
              <w:left w:type="dxa" w:w="100"/>
              <w:bottom w:type="dxa" w:w="60"/>
              <w:right w:type="dxa" w:w="100"/>
            </w:tcMar>
          </w:tcPr>
          <w:p>
            <w:r>
              <w:rPr>
                <w:sz w:val="19"/>
                <w:szCs w:val="19"/>
              </w:rPr>
              <w:t xml:space="preserve">Itália</w:t>
            </w:r>
          </w:p>
        </w:tc>
        <w:tc>
          <w:tcPr>
            <w:tcW w:type="dxa" w:w="4819"/>
            <w:tcMar>
              <w:top w:type="dxa" w:w="60"/>
              <w:left w:type="dxa" w:w="100"/>
              <w:bottom w:type="dxa" w:w="60"/>
              <w:right w:type="dxa" w:w="100"/>
            </w:tcMar>
          </w:tcPr>
          <w:p>
            <w:r>
              <w:rPr>
                <w:sz w:val="19"/>
                <w:szCs w:val="19"/>
              </w:rPr>
              <w:t xml:space="preserve">Cartão, Satispay, SEPA Direct Debit, Klarna, Apple Pay, Google Pay, PayPal</w:t>
            </w:r>
          </w:p>
        </w:tc>
      </w:tr>
      <w:tr>
        <w:trPr>
          <w:tblHeader w:val="off"/>
        </w:trPr>
        <w:tc>
          <w:tcPr>
            <w:tcW w:type="dxa" w:w="4819"/>
            <w:tcMar>
              <w:top w:type="dxa" w:w="60"/>
              <w:left w:type="dxa" w:w="100"/>
              <w:bottom w:type="dxa" w:w="60"/>
              <w:right w:type="dxa" w:w="100"/>
            </w:tcMar>
          </w:tcPr>
          <w:p>
            <w:r>
              <w:rPr>
                <w:sz w:val="19"/>
                <w:szCs w:val="19"/>
              </w:rPr>
              <w:t xml:space="preserve">França</w:t>
            </w:r>
          </w:p>
        </w:tc>
        <w:tc>
          <w:tcPr>
            <w:tcW w:type="dxa" w:w="4819"/>
            <w:tcMar>
              <w:top w:type="dxa" w:w="60"/>
              <w:left w:type="dxa" w:w="100"/>
              <w:bottom w:type="dxa" w:w="60"/>
              <w:right w:type="dxa" w:w="100"/>
            </w:tcMar>
          </w:tcPr>
          <w:p>
            <w:r>
              <w:rPr>
                <w:sz w:val="19"/>
                <w:szCs w:val="19"/>
              </w:rPr>
              <w:t xml:space="preserve">Cartão, Cartes Bancaires, SEPA Direct Debit, Klarna, Apple Pay, Google Pay, PayPal</w:t>
            </w:r>
          </w:p>
        </w:tc>
      </w:tr>
      <w:tr>
        <w:trPr>
          <w:tblHeader w:val="off"/>
        </w:trPr>
        <w:tc>
          <w:tcPr>
            <w:tcW w:type="dxa" w:w="4819"/>
            <w:tcMar>
              <w:top w:type="dxa" w:w="60"/>
              <w:left w:type="dxa" w:w="100"/>
              <w:bottom w:type="dxa" w:w="60"/>
              <w:right w:type="dxa" w:w="100"/>
            </w:tcMar>
          </w:tcPr>
          <w:p>
            <w:r>
              <w:rPr>
                <w:sz w:val="19"/>
                <w:szCs w:val="19"/>
              </w:rPr>
              <w:t xml:space="preserve">Alemanha</w:t>
            </w:r>
          </w:p>
        </w:tc>
        <w:tc>
          <w:tcPr>
            <w:tcW w:type="dxa" w:w="4819"/>
            <w:tcMar>
              <w:top w:type="dxa" w:w="60"/>
              <w:left w:type="dxa" w:w="100"/>
              <w:bottom w:type="dxa" w:w="60"/>
              <w:right w:type="dxa" w:w="100"/>
            </w:tcMar>
          </w:tcPr>
          <w:p>
            <w:r>
              <w:rPr>
                <w:sz w:val="19"/>
                <w:szCs w:val="19"/>
              </w:rPr>
              <w:t xml:space="preserve">Cartão, SEPA Direct Debit, Klarna, Wero, PayPal, Apple Pay, Google Pay</w:t>
            </w:r>
          </w:p>
        </w:tc>
      </w:tr>
      <w:tr>
        <w:trPr>
          <w:tblHeader w:val="off"/>
        </w:trPr>
        <w:tc>
          <w:tcPr>
            <w:tcW w:type="dxa" w:w="4819"/>
            <w:tcMar>
              <w:top w:type="dxa" w:w="60"/>
              <w:left w:type="dxa" w:w="100"/>
              <w:bottom w:type="dxa" w:w="60"/>
              <w:right w:type="dxa" w:w="100"/>
            </w:tcMar>
          </w:tcPr>
          <w:p>
            <w:r>
              <w:rPr>
                <w:sz w:val="19"/>
                <w:szCs w:val="19"/>
              </w:rPr>
              <w:t xml:space="preserve">Reino Unido</w:t>
            </w:r>
          </w:p>
        </w:tc>
        <w:tc>
          <w:tcPr>
            <w:tcW w:type="dxa" w:w="4819"/>
            <w:tcMar>
              <w:top w:type="dxa" w:w="60"/>
              <w:left w:type="dxa" w:w="100"/>
              <w:bottom w:type="dxa" w:w="60"/>
              <w:right w:type="dxa" w:w="100"/>
            </w:tcMar>
          </w:tcPr>
          <w:p>
            <w:r>
              <w:rPr>
                <w:sz w:val="19"/>
                <w:szCs w:val="19"/>
              </w:rPr>
              <w:t xml:space="preserve">Cartão, Pay by bank (Open Banking), Bacs Direct Debit, Apple Pay, Google Pay, PayPal, Klarna</w:t>
            </w:r>
          </w:p>
        </w:tc>
      </w:tr>
      <w:tr>
        <w:trPr>
          <w:tblHeader w:val="off"/>
        </w:trPr>
        <w:tc>
          <w:tcPr>
            <w:tcW w:type="dxa" w:w="4819"/>
            <w:tcMar>
              <w:top w:type="dxa" w:w="60"/>
              <w:left w:type="dxa" w:w="100"/>
              <w:bottom w:type="dxa" w:w="60"/>
              <w:right w:type="dxa" w:w="100"/>
            </w:tcMar>
          </w:tcPr>
          <w:p>
            <w:r>
              <w:rPr>
                <w:sz w:val="19"/>
                <w:szCs w:val="19"/>
              </w:rPr>
              <w:t xml:space="preserve">Emirados Árabes Unidos</w:t>
            </w:r>
          </w:p>
        </w:tc>
        <w:tc>
          <w:tcPr>
            <w:tcW w:type="dxa" w:w="4819"/>
            <w:tcMar>
              <w:top w:type="dxa" w:w="60"/>
              <w:left w:type="dxa" w:w="100"/>
              <w:bottom w:type="dxa" w:w="60"/>
              <w:right w:type="dxa" w:w="100"/>
            </w:tcMar>
          </w:tcPr>
          <w:p>
            <w:r>
              <w:rPr>
                <w:sz w:val="19"/>
                <w:szCs w:val="19"/>
              </w:rPr>
              <w:t xml:space="preserve">Cartão, Apple Pay, Google Pay, transferência bancária</w:t>
            </w:r>
          </w:p>
        </w:tc>
      </w:tr>
      <w:tr>
        <w:trPr>
          <w:tblHeader w:val="off"/>
        </w:trPr>
        <w:tc>
          <w:tcPr>
            <w:tcW w:type="dxa" w:w="4819"/>
            <w:tcMar>
              <w:top w:type="dxa" w:w="60"/>
              <w:left w:type="dxa" w:w="100"/>
              <w:bottom w:type="dxa" w:w="60"/>
              <w:right w:type="dxa" w:w="100"/>
            </w:tcMar>
          </w:tcPr>
          <w:p>
            <w:r>
              <w:rPr>
                <w:sz w:val="19"/>
                <w:szCs w:val="19"/>
              </w:rPr>
              <w:t xml:space="preserve">Israel</w:t>
            </w:r>
          </w:p>
        </w:tc>
        <w:tc>
          <w:tcPr>
            <w:tcW w:type="dxa" w:w="4819"/>
            <w:tcMar>
              <w:top w:type="dxa" w:w="60"/>
              <w:left w:type="dxa" w:w="100"/>
              <w:bottom w:type="dxa" w:w="60"/>
              <w:right w:type="dxa" w:w="100"/>
            </w:tcMar>
          </w:tcPr>
          <w:p>
            <w:r>
              <w:rPr>
                <w:sz w:val="19"/>
                <w:szCs w:val="19"/>
              </w:rPr>
              <w:t xml:space="preserve">Cartão, Bit, Apple Pay, Google Pay, PayPal, transferência bancária</w:t>
            </w:r>
          </w:p>
        </w:tc>
      </w:tr>
      <w:tr>
        <w:trPr>
          <w:tblHeader w:val="off"/>
        </w:trPr>
        <w:tc>
          <w:tcPr>
            <w:tcW w:type="dxa" w:w="4819"/>
            <w:tcMar>
              <w:top w:type="dxa" w:w="60"/>
              <w:left w:type="dxa" w:w="100"/>
              <w:bottom w:type="dxa" w:w="60"/>
              <w:right w:type="dxa" w:w="100"/>
            </w:tcMar>
          </w:tcPr>
          <w:p>
            <w:r>
              <w:rPr>
                <w:sz w:val="19"/>
                <w:szCs w:val="19"/>
              </w:rPr>
              <w:t xml:space="preserve">China</w:t>
            </w:r>
          </w:p>
        </w:tc>
        <w:tc>
          <w:tcPr>
            <w:tcW w:type="dxa" w:w="4819"/>
            <w:tcMar>
              <w:top w:type="dxa" w:w="60"/>
              <w:left w:type="dxa" w:w="100"/>
              <w:bottom w:type="dxa" w:w="60"/>
              <w:right w:type="dxa" w:w="100"/>
            </w:tcMar>
          </w:tcPr>
          <w:p>
            <w:r>
              <w:rPr>
                <w:sz w:val="19"/>
                <w:szCs w:val="19"/>
              </w:rPr>
              <w:t xml:space="preserve">Alipay, WeChat Pay, UnionPay, cartão</w:t>
            </w:r>
          </w:p>
        </w:tc>
      </w:tr>
      <w:tr>
        <w:trPr>
          <w:tblHeader w:val="off"/>
        </w:trPr>
        <w:tc>
          <w:tcPr>
            <w:tcW w:type="dxa" w:w="4819"/>
            <w:tcMar>
              <w:top w:type="dxa" w:w="60"/>
              <w:left w:type="dxa" w:w="100"/>
              <w:bottom w:type="dxa" w:w="60"/>
              <w:right w:type="dxa" w:w="100"/>
            </w:tcMar>
          </w:tcPr>
          <w:p>
            <w:r>
              <w:rPr>
                <w:sz w:val="19"/>
                <w:szCs w:val="19"/>
              </w:rPr>
              <w:t xml:space="preserve">Japão</w:t>
            </w:r>
          </w:p>
        </w:tc>
        <w:tc>
          <w:tcPr>
            <w:tcW w:type="dxa" w:w="4819"/>
            <w:tcMar>
              <w:top w:type="dxa" w:w="60"/>
              <w:left w:type="dxa" w:w="100"/>
              <w:bottom w:type="dxa" w:w="60"/>
              <w:right w:type="dxa" w:w="100"/>
            </w:tcMar>
          </w:tcPr>
          <w:p>
            <w:r>
              <w:rPr>
                <w:sz w:val="19"/>
                <w:szCs w:val="19"/>
              </w:rPr>
              <w:t xml:space="preserve">Cartão, JCB, Konbini, PayPay, Apple Pay, Google Pay</w:t>
            </w:r>
          </w:p>
        </w:tc>
      </w:tr>
      <w:tr>
        <w:trPr>
          <w:tblHeader w:val="off"/>
        </w:trPr>
        <w:tc>
          <w:tcPr>
            <w:tcW w:type="dxa" w:w="4819"/>
            <w:tcMar>
              <w:top w:type="dxa" w:w="60"/>
              <w:left w:type="dxa" w:w="100"/>
              <w:bottom w:type="dxa" w:w="60"/>
              <w:right w:type="dxa" w:w="100"/>
            </w:tcMar>
          </w:tcPr>
          <w:p>
            <w:r>
              <w:rPr>
                <w:sz w:val="19"/>
                <w:szCs w:val="19"/>
              </w:rPr>
              <w:t xml:space="preserve">Índia</w:t>
            </w:r>
          </w:p>
        </w:tc>
        <w:tc>
          <w:tcPr>
            <w:tcW w:type="dxa" w:w="4819"/>
            <w:tcMar>
              <w:top w:type="dxa" w:w="60"/>
              <w:left w:type="dxa" w:w="100"/>
              <w:bottom w:type="dxa" w:w="60"/>
              <w:right w:type="dxa" w:w="100"/>
            </w:tcMar>
          </w:tcPr>
          <w:p>
            <w:r>
              <w:rPr>
                <w:sz w:val="19"/>
                <w:szCs w:val="19"/>
              </w:rPr>
              <w:t xml:space="preserve">UPI, cartão, RuPay, net banking, PayPal</w:t>
            </w:r>
          </w:p>
        </w:tc>
      </w:tr>
      <w:tr>
        <w:trPr>
          <w:tblHeader w:val="off"/>
        </w:trPr>
        <w:tc>
          <w:tcPr>
            <w:tcW w:type="dxa" w:w="4819"/>
            <w:tcMar>
              <w:top w:type="dxa" w:w="60"/>
              <w:left w:type="dxa" w:w="100"/>
              <w:bottom w:type="dxa" w:w="60"/>
              <w:right w:type="dxa" w:w="100"/>
            </w:tcMar>
          </w:tcPr>
          <w:p>
            <w:r>
              <w:rPr>
                <w:sz w:val="19"/>
                <w:szCs w:val="19"/>
              </w:rPr>
              <w:t xml:space="preserve">Austrália</w:t>
            </w:r>
          </w:p>
        </w:tc>
        <w:tc>
          <w:tcPr>
            <w:tcW w:type="dxa" w:w="4819"/>
            <w:tcMar>
              <w:top w:type="dxa" w:w="60"/>
              <w:left w:type="dxa" w:w="100"/>
              <w:bottom w:type="dxa" w:w="60"/>
              <w:right w:type="dxa" w:w="100"/>
            </w:tcMar>
          </w:tcPr>
          <w:p>
            <w:r>
              <w:rPr>
                <w:sz w:val="19"/>
                <w:szCs w:val="19"/>
              </w:rPr>
              <w:t xml:space="preserve">Cartão, PayID, BPAY, Apple Pay, Google Pay, PayPal</w:t>
            </w:r>
          </w:p>
        </w:tc>
      </w:tr>
    </w:tbl>
    <w:p/>
    <w:p>
      <w:pPr>
        <w:spacing w:after="120"/>
        <w:jc w:val="both"/>
      </w:pPr>
      <w:r>
        <w:t xml:space="preserve">4.2. "Cartão" abrange Visa, Mastercard e American Express, conforme disponibilidade do processador. A disponibilidade efetiva de cada meio depende do processador responsável no país (cláusula 1.3); meios não suportados por ele não são exibidos no pagamento.</w:t>
      </w:r>
    </w:p>
    <w:p>
      <w:pPr>
        <w:spacing w:after="120"/>
        <w:jc w:val="both"/>
      </w:pPr>
      <w:r>
        <w:t xml:space="preserve">4.3. </w:t>
      </w:r>
      <w:r>
        <w:rPr>
          <w:b/>
          <w:bCs/>
        </w:rPr>
        <w:t xml:space="preserve">Pagamentos assíncronos.</w:t>
      </w:r>
      <w:r>
        <w:t xml:space="preserve"> Pix, boleto, OXXO, SPEI, Multibanco, konbini, transferência bancária, BPAY, PSE, net banking, UPI, Bizum, MB WAY, Bit, PayID e Yape são confirmados somente após a compensação. A Reserva só é confirmada após o recebimento, e pagamentos não compensados no prazo indicado expiram. Esses meios não permitem pré-autorização de Caução, aplicando-se o documento Avalista e Caução.</w:t>
      </w:r>
    </w:p>
    <w:p>
      <w:pPr>
        <w:pStyle w:val="Heading2"/>
      </w:pPr>
      <w:r>
        <w:t xml:space="preserve">5. Autorização, captura e pré-autorização</w:t>
      </w:r>
    </w:p>
    <w:p>
      <w:pPr>
        <w:spacing w:after="120"/>
        <w:jc w:val="both"/>
      </w:pPr>
      <w:r>
        <w:t xml:space="preserve">5.1. </w:t>
      </w:r>
      <w:r>
        <w:rPr>
          <w:b/>
          <w:bCs/>
        </w:rPr>
        <w:t xml:space="preserve">Reserva por solicitação.</w:t>
      </w:r>
      <w:r>
        <w:t xml:space="preserve"> O valor é </w:t>
      </w:r>
      <w:r>
        <w:rPr>
          <w:b/>
          <w:bCs/>
        </w:rPr>
        <w:t xml:space="preserve">autorizado</w:t>
      </w:r>
      <w:r>
        <w:t xml:space="preserve"> (reservado) e só é </w:t>
      </w:r>
      <w:r>
        <w:rPr>
          <w:b/>
          <w:bCs/>
        </w:rPr>
        <w:t xml:space="preserve">capturado</w:t>
      </w:r>
      <w:r>
        <w:t xml:space="preserve"> quando o Anfitrião aceita. Recusa ou expiração em 24 horas libera a autorização.</w:t>
      </w:r>
    </w:p>
    <w:p>
      <w:pPr>
        <w:spacing w:after="120"/>
        <w:jc w:val="both"/>
      </w:pPr>
      <w:r>
        <w:t xml:space="preserve">5.2. </w:t>
      </w:r>
      <w:r>
        <w:rPr>
          <w:b/>
          <w:bCs/>
        </w:rPr>
        <w:t xml:space="preserve">Reserva com Avalista.</w:t>
      </w:r>
      <w:r>
        <w:t xml:space="preserve"> O valor permanece autorizado até o aceite do Avalista (prazo de 48 horas).</w:t>
      </w:r>
    </w:p>
    <w:p>
      <w:pPr>
        <w:spacing w:after="120"/>
        <w:jc w:val="both"/>
      </w:pPr>
      <w:r>
        <w:t xml:space="preserve">5.3. </w:t>
      </w:r>
      <w:r>
        <w:rPr>
          <w:b/>
          <w:bCs/>
        </w:rPr>
        <w:t xml:space="preserve">Reserva instantânea.</w:t>
      </w:r>
      <w:r>
        <w:t xml:space="preserve"> A captura ocorre na confirmação.</w:t>
      </w:r>
    </w:p>
    <w:p>
      <w:pPr>
        <w:spacing w:after="120"/>
        <w:jc w:val="both"/>
      </w:pPr>
      <w:r>
        <w:t xml:space="preserve">5.4. </w:t>
      </w:r>
      <w:r>
        <w:rPr>
          <w:b/>
          <w:bCs/>
        </w:rPr>
        <w:t xml:space="preserve">Caução.</w:t>
      </w:r>
      <w:r>
        <w:t xml:space="preserve"> Pré-autorização adicional, limitada a 3 vezes o Valor Base, liberada 72 horas após o check-out se não houver Incidente.</w:t>
      </w:r>
    </w:p>
    <w:p>
      <w:pPr>
        <w:spacing w:after="120"/>
        <w:jc w:val="both"/>
      </w:pPr>
      <w:r>
        <w:t xml:space="preserve">5.5. </w:t>
      </w:r>
      <w:r>
        <w:rPr>
          <w:b/>
          <w:bCs/>
        </w:rPr>
        <w:t xml:space="preserve">Reservas recorrentes.</w:t>
      </w:r>
      <w:r>
        <w:t xml:space="preserve"> Em séries, o valor total pode ser cobrado na confirmação ou, quando a regulação local exigir ou o Locatário optar, em parcelas por Ocorrência, observadas as regras locais de pagamentos recorrentes (por exemplo, </w:t>
      </w:r>
      <w:r>
        <w:rPr>
          <w:i/>
          <w:iCs/>
        </w:rPr>
        <w:t xml:space="preserve">e-mandates</w:t>
      </w:r>
      <w:r>
        <w:t xml:space="preserve"> do RBI na Índia).</w:t>
      </w:r>
    </w:p>
    <w:p>
      <w:pPr>
        <w:pStyle w:val="Heading2"/>
      </w:pPr>
      <w:r>
        <w:t xml:space="preserve">6. Repasse ao Anfitrião</w:t>
      </w:r>
    </w:p>
    <w:p>
      <w:pPr>
        <w:spacing w:after="120"/>
        <w:jc w:val="both"/>
      </w:pPr>
      <w:r>
        <w:t xml:space="preserve">6.1. </w:t>
      </w:r>
      <w:r>
        <w:rPr>
          <w:b/>
          <w:bCs/>
        </w:rPr>
        <w:t xml:space="preserve">Brasil (pagamento dividido).</w:t>
      </w:r>
      <w:r>
        <w:t xml:space="preserve"> No Brasil, o pagamento da Reserva é processado pelo Mercado Pago com divisão automática (</w:t>
      </w:r>
      <w:r>
        <w:rPr>
          <w:i/>
          <w:iCs/>
        </w:rPr>
        <w:t xml:space="preserve">split</w:t>
      </w:r>
      <w:r>
        <w:t xml:space="preserve">): no momento da aprovação, o valor devido ao Anfitrião — Valor Base e Taxa de Limpeza, deduzida a Taxa de Serviço do Anfitrião — é creditado diretamente na conta Mercado Pago do próprio Anfitrião, conectada à Plataforma, e a Plataforma recebe apenas as Taxas de Serviço e os tributos sobre elas. A Plataforma não recebe nem custodia o valor do Anfitrião. A disponibilidade do saldo segue os prazos do Mercado Pago para o meio de pagamento utilizado. A tarifa de processamento do Mercado Pago é descontada pelo próprio Mercado Pago da parcela creditada ao Anfitrião, conforme as condições da conta dele, e não integra a Taxa de Serviço do Anfitrião.</w:t>
      </w:r>
    </w:p>
    <w:p>
      <w:pPr>
        <w:spacing w:after="120"/>
        <w:jc w:val="both"/>
      </w:pPr>
      <w:r>
        <w:t xml:space="preserve">6.2. </w:t>
      </w:r>
      <w:r>
        <w:rPr>
          <w:b/>
          <w:bCs/>
        </w:rPr>
        <w:t xml:space="preserve">Conta de recebimento.</w:t>
      </w:r>
      <w:r>
        <w:t xml:space="preserve"> Para anunciar no Brasil, o Anfitrião deve conectar uma conta Mercado Pago de sua titularidade (ou da pessoa jurídica titular do Anúncio) e mantê-la ativa. Enquanto a conta não estiver conectada, o Anúncio não recebe Reservas. Cada Anfitrião é responsável pela emissão do documento fiscal referente ao valor que recebe, e a Plataforma, pelo documento fiscal referente às Taxas de Serviço.</w:t>
      </w:r>
    </w:p>
    <w:p>
      <w:pPr>
        <w:spacing w:after="120"/>
        <w:jc w:val="both"/>
      </w:pPr>
      <w:r>
        <w:t xml:space="preserve">6.3. </w:t>
      </w:r>
      <w:r>
        <w:rPr>
          <w:b/>
          <w:bCs/>
        </w:rPr>
        <w:t xml:space="preserve">Reembolsos e ajustes no Brasil.</w:t>
      </w:r>
      <w:r>
        <w:t xml:space="preserve"> Reembolsos ao Locatário (cancelamento, Incidente procedente, não prestação) são estornados pelo Mercado Pago e debitados proporcionalmente do saldo de cada parte: a parcela do Anfitrião, do saldo do Anfitrião; as Taxas de Serviço, do saldo da Plataforma, observadas as regras de cancelamento. Multas devidas pelo Anfitrião e valores que o saldo dele não cubra podem ser cobrados à parte ou compensados com Reservas futuras.</w:t>
      </w:r>
    </w:p>
    <w:p>
      <w:pPr>
        <w:spacing w:after="120"/>
        <w:jc w:val="both"/>
      </w:pPr>
      <w:r>
        <w:t xml:space="preserve">6.4. </w:t>
      </w:r>
      <w:r>
        <w:rPr>
          <w:b/>
          <w:bCs/>
        </w:rPr>
        <w:t xml:space="preserve">Demais países.</w:t>
      </w:r>
      <w:r>
        <w:t xml:space="preserve"> Onde o pagamento dividido não estiver disponível, o repasse é liberado 24 horas após o início da primeira Ocorrência da Reserva, para a conta cadastrada pelo Anfitrião, deduzidas a Taxa de Serviço do Anfitrião e eventuais retenções; em séries, pode ser liberado por Ocorrência. O crédito depende dos prazos do meio de transferência e do banco de destino, e repasses internacionais podem estar sujeitos a tarifas bancárias e conversão cambial.</w:t>
      </w:r>
    </w:p>
    <w:p>
      <w:pPr>
        <w:pStyle w:val="Heading2"/>
      </w:pPr>
      <w:r>
        <w:t xml:space="preserve">7. Retenções</w:t>
      </w:r>
    </w:p>
    <w:p>
      <w:pPr>
        <w:spacing w:after="120"/>
        <w:jc w:val="both"/>
      </w:pPr>
      <w:r>
        <w:t xml:space="preserve">7.1. A Plataforma pode reter, total ou parcialmente, repasses ao Anfitrião quando: (a) houver Incidente aberto pelo Locatário ou disputa pendente; (b) houver indício de fraude, lavagem de dinheiro, conta comprometida ou violação grave; (c) faltarem dados de identificação, fiscais ou bancários; (d) houver débito do Anfitrião perante a Plataforma (multas por cancelamento, reembolsos devidos); (e) houver ordem judicial ou administrativa; (f) houver </w:t>
      </w:r>
      <w:r>
        <w:rPr>
          <w:i/>
          <w:iCs/>
        </w:rPr>
        <w:t xml:space="preserve">chargeback</w:t>
      </w:r>
      <w:r>
        <w:t xml:space="preserve"> em curso.</w:t>
      </w:r>
    </w:p>
    <w:p>
      <w:pPr>
        <w:spacing w:after="120"/>
        <w:jc w:val="both"/>
      </w:pPr>
      <w:r>
        <w:t xml:space="preserve">7.2. A retenção é comunicada ao Anfitrião com o motivo e perdura somente pelo tempo necessário.</w:t>
      </w:r>
    </w:p>
    <w:p>
      <w:pPr>
        <w:spacing w:after="120"/>
        <w:jc w:val="both"/>
      </w:pPr>
      <w:r>
        <w:t xml:space="preserve">7.3. </w:t>
      </w:r>
      <w:r>
        <w:rPr>
          <w:b/>
          <w:bCs/>
        </w:rPr>
        <w:t xml:space="preserve">Retenções tributárias.</w:t>
      </w:r>
      <w:r>
        <w:t xml:space="preserve"> Quando a lei impuser à Plataforma retenção de tributos sobre repasses (por exemplo, IVA/ISR no México, pela Ley del IVA, Cap. III Bis, e pela LISR, arts. 113-A a 113-D; TCS de 0,5% sob o GST e TDS de 0,1% da s. 194-O do Income-tax Act na Índia; </w:t>
      </w:r>
      <w:r>
        <w:rPr>
          <w:i/>
          <w:iCs/>
        </w:rPr>
        <w:t xml:space="preserve">backup withholding</w:t>
      </w:r>
      <w:r>
        <w:t xml:space="preserve"> nos Estados Unidos, se o Anfitrião não fornecer o Form W-9), os valores retidos são recolhidos e informados ao Anfitrião com o respectivo comprovante.</w:t>
      </w:r>
    </w:p>
    <w:p>
      <w:pPr>
        <w:spacing w:after="120"/>
        <w:jc w:val="both"/>
      </w:pPr>
      <w:r>
        <w:t xml:space="preserve">7.4. </w:t>
      </w:r>
      <w:r>
        <w:rPr>
          <w:b/>
          <w:bCs/>
        </w:rPr>
        <w:t xml:space="preserve">Comunicação de rendimentos.</w:t>
      </w:r>
      <w:r>
        <w:t xml:space="preserve"> A Plataforma ou o processador de pagamento podem comunicar às autoridades fiscais os rendimentos recebidos pelos Anfitriões, por exemplo pela Diretiva DAC7 (União Europeia), pelo Form 1099-K (Estados Unidos), pelas regras de </w:t>
      </w:r>
      <w:r>
        <w:rPr>
          <w:i/>
          <w:iCs/>
        </w:rPr>
        <w:t xml:space="preserve">platform reporting</w:t>
      </w:r>
      <w:r>
        <w:t xml:space="preserve"> do Reino Unido, do Canadá e da Austrália e pelas regras chinesas de comunicação de informações fiscais por plataformas (documento Obrigações do Anfitrião, cláusula 11).</w:t>
      </w:r>
    </w:p>
    <w:p>
      <w:pPr>
        <w:pStyle w:val="Heading2"/>
      </w:pPr>
      <w:r>
        <w:t xml:space="preserve">8. Reembolsos</w:t>
      </w:r>
    </w:p>
    <w:p>
      <w:pPr>
        <w:spacing w:after="120"/>
        <w:jc w:val="both"/>
      </w:pPr>
      <w:r>
        <w:t xml:space="preserve">8.1. Os reembolsos seguem a Política de Cancelamento e Reembolso e são devolvidos pelo mesmo meio de pagamento: cartão em 5 a 10 dias úteis conforme o emissor; Pix e transferências em até 5 dias úteis; boleto, OXXO, konbini e similares por transferência para conta bancária indicada pelo Locatário.</w:t>
      </w:r>
    </w:p>
    <w:p>
      <w:pPr>
        <w:spacing w:after="120"/>
        <w:jc w:val="both"/>
      </w:pPr>
      <w:r>
        <w:t xml:space="preserve">8.2. Reembolsos que decorram de falha do Anfitrião são descontados de seus repasses futuros ou cobrados dele.</w:t>
      </w:r>
    </w:p>
    <w:p>
      <w:pPr>
        <w:pStyle w:val="Heading2"/>
      </w:pPr>
      <w:r>
        <w:t xml:space="preserve">9. Cobranças adicionais</w:t>
      </w:r>
    </w:p>
    <w:p>
      <w:pPr>
        <w:spacing w:after="120"/>
        <w:jc w:val="both"/>
      </w:pPr>
      <w:r>
        <w:t xml:space="preserve">9.1. Atraso na saída, danos, limpeza extra, multas de condomínio e penalidades decididas em Incidente são cobrados na ordem: Caução, meio de pagamento cadastrado e Avalista (Penalidades e Medidas). O Locatário autoriza expressamente essas cobranças ao aceitar os Termos e recebe o detalhamento de cada uma.</w:t>
      </w:r>
    </w:p>
    <w:p>
      <w:pPr>
        <w:pStyle w:val="Heading2"/>
      </w:pPr>
      <w:r>
        <w:t xml:space="preserve">10. Contestações (chargebacks)</w:t>
      </w:r>
    </w:p>
    <w:p>
      <w:pPr>
        <w:spacing w:after="120"/>
        <w:jc w:val="both"/>
      </w:pPr>
      <w:r>
        <w:t xml:space="preserve">10.1. O Locatário deve buscar primeiro a Central de Resolução antes de contestar uma cobrança junto ao emissor. Isso não limita os direitos do titular do cartão.</w:t>
      </w:r>
    </w:p>
    <w:p>
      <w:pPr>
        <w:spacing w:after="120"/>
        <w:jc w:val="both"/>
      </w:pPr>
      <w:r>
        <w:t xml:space="preserve">10.2. Em caso de </w:t>
      </w:r>
      <w:r>
        <w:rPr>
          <w:i/>
          <w:iCs/>
        </w:rPr>
        <w:t xml:space="preserve">chargeback</w:t>
      </w:r>
      <w:r>
        <w:t xml:space="preserve">, a Plataforma apresentará ao emissor as evidências da Reserva (aceite dos Termos e das regras, check-in/check-out, mensagens, fotos). Se o </w:t>
      </w:r>
      <w:r>
        <w:rPr>
          <w:i/>
          <w:iCs/>
        </w:rPr>
        <w:t xml:space="preserve">chargeback</w:t>
      </w:r>
      <w:r>
        <w:t xml:space="preserve"> for julgado procedente em razão de falha do Anfitrião, o valor será debitado dos repasses deste. </w:t>
      </w:r>
      <w:r>
        <w:rPr>
          <w:i/>
          <w:iCs/>
        </w:rPr>
        <w:t xml:space="preserve">Chargebacks</w:t>
      </w:r>
      <w:r>
        <w:t xml:space="preserve"> fraudulentos ou abusivos sujeitam o Locatário a suspensão e cobrança do valor, com tarifas.</w:t>
      </w:r>
    </w:p>
    <w:p>
      <w:pPr>
        <w:pStyle w:val="Heading2"/>
      </w:pPr>
      <w:r>
        <w:t xml:space="preserve">11. Proibição de pagamento fora da Plataforma</w:t>
      </w:r>
    </w:p>
    <w:p>
      <w:pPr>
        <w:spacing w:after="120"/>
        <w:jc w:val="both"/>
      </w:pPr>
      <w:r>
        <w:t xml:space="preserve">11.1. Todo pagamento relativo a Reservas deve ser feito pela Plataforma. Solicitar, oferecer ou aceitar pagamento por fora (inclusive "desconto para pagar direto", depósito em conta, Pix direto, dinheiro) é falta grave que leva à exclusão das contas envolvidas. Pagamentos por fora não contam com qualquer proteção da Plataforma.</w:t>
      </w:r>
    </w:p>
    <w:p>
      <w:pPr>
        <w:pStyle w:val="Heading2"/>
      </w:pPr>
      <w:r>
        <w:t xml:space="preserve">12. Recibos e documentos fiscais</w:t>
      </w:r>
    </w:p>
    <w:p>
      <w:pPr>
        <w:spacing w:after="120"/>
        <w:jc w:val="both"/>
      </w:pPr>
      <w:r>
        <w:t xml:space="preserve">12.1. O Locatário recebe recibo eletrônico de cada pagamento, com o detalhamento dos componentes. A Operadora emite o documento fiscal referente à </w:t>
      </w:r>
      <w:r>
        <w:rPr>
          <w:b/>
          <w:bCs/>
        </w:rPr>
        <w:t xml:space="preserve">Taxa de Serviço</w:t>
      </w:r>
      <w:r>
        <w:t xml:space="preserve"> conforme a legislação do país (no Brasil, nota fiscal de serviço eletrônica — NFS-e).</w:t>
      </w:r>
    </w:p>
    <w:p>
      <w:pPr>
        <w:spacing w:after="120"/>
        <w:jc w:val="both"/>
      </w:pPr>
      <w:r>
        <w:t xml:space="preserve">12.2. O documento fiscal relativo ao </w:t>
      </w:r>
      <w:r>
        <w:rPr>
          <w:b/>
          <w:bCs/>
        </w:rPr>
        <w:t xml:space="preserve">Valor Base e à Taxa de Limpeza</w:t>
      </w:r>
      <w:r>
        <w:t xml:space="preserve">, quando exigido, é de responsabilidade do Anfitrião, que deve emiti-lo ao Locatário conforme sua legislação. A Plataforma disponibiliza os dados necessários.</w:t>
      </w:r>
    </w:p>
    <w:p>
      <w:pPr>
        <w:spacing w:after="120"/>
        <w:jc w:val="both"/>
      </w:pPr>
      <w:r>
        <w:t xml:space="preserve">12.3. Locatários pessoa jurídica devem informar sua identificação fiscal (por exemplo, CNPJ, RFC, NIF, VAT number) para constar nos documentos.</w:t>
      </w:r>
    </w:p>
    <w:p>
      <w:pPr>
        <w:pStyle w:val="Heading2"/>
      </w:pPr>
      <w:r>
        <w:t xml:space="preserve">13. Prevenção à fraude, AML e KYC</w:t>
      </w:r>
    </w:p>
    <w:p>
      <w:pPr>
        <w:spacing w:after="120"/>
        <w:jc w:val="both"/>
      </w:pPr>
      <w:r>
        <w:t xml:space="preserve">13.1. A Plataforma adota procedimentos de </w:t>
      </w:r>
      <w:r>
        <w:rPr>
          <w:b/>
          <w:bCs/>
        </w:rPr>
        <w:t xml:space="preserve">conheça seu cliente (KYC)</w:t>
      </w:r>
      <w:r>
        <w:t xml:space="preserve"> e de </w:t>
      </w:r>
      <w:r>
        <w:rPr>
          <w:b/>
          <w:bCs/>
        </w:rPr>
        <w:t xml:space="preserve">prevenção à lavagem de dinheiro e ao financiamento do terrorismo (AML/CFT)</w:t>
      </w:r>
      <w:r>
        <w:t xml:space="preserve">, incluindo verificação de identidade e de titularidade de contas bancárias, triagem em listas de sanções, monitoramento de transações atípicas, limites operacionais e verificação reforçada (3-D Secure, confirmação por </w:t>
      </w:r>
      <w:r>
        <w:rPr>
          <w:i/>
          <w:iCs/>
        </w:rPr>
        <w:t xml:space="preserve">link</w:t>
      </w:r>
      <w:r>
        <w:t xml:space="preserve">).</w:t>
      </w:r>
    </w:p>
    <w:p>
      <w:pPr>
        <w:spacing w:after="120"/>
        <w:jc w:val="both"/>
      </w:pPr>
      <w:r>
        <w:t xml:space="preserve">13.2. A Plataforma pode recusar, cancelar ou reter pagamentos e repasses com indícios de fraude, uso de cartão de terceiros, operações simuladas ou incompatíveis com o perfil, e comunicar as autoridades competentes conforme a lei.</w:t>
      </w:r>
    </w:p>
    <w:p>
      <w:pPr>
        <w:spacing w:after="120"/>
        <w:jc w:val="both"/>
      </w:pPr>
      <w:r>
        <w:t xml:space="preserve">13.3. Os dados de cartão são coletados e tokenizados diretamente pelo Mercado Pago ou pela Stripe, certificados PCI DSS; eles nunca transitam pelos servidores da Plataforma, que não recebe nem armazena o número completo do cartão nem o código de segurança. Autenticação reforçada (3-D Secure ou equivalente) pode ser exigida pelo processador ou pela regulação local (por exemplo, SCA na União Europeia e no Reino Unido).</w:t>
      </w:r>
    </w:p>
    <w:p>
      <w:r>
        <w:br w:type="page"/>
      </w:r>
    </w:p>
    <w:p>
      <w:pPr>
        <w:pStyle w:val="Heading1"/>
      </w:pPr>
      <w:r>
        <w:t xml:space="preserve">Política de Cancelamento e Reembolso</w:t>
      </w:r>
    </w:p>
    <w:p>
      <w:pPr>
        <w:spacing w:after="120"/>
        <w:jc w:val="both"/>
      </w:pPr>
      <w:r>
        <w:t xml:space="preserve">Versão 2026-09-25 · Vigência a partir de 25/09/2026</w:t>
      </w:r>
    </w:p>
    <w:p>
      <w:pPr>
        <w:pStyle w:val="Heading2"/>
      </w:pPr>
      <w:r>
        <w:t xml:space="preserve">1. Disposições gerais</w:t>
      </w:r>
    </w:p>
    <w:p>
      <w:pPr>
        <w:spacing w:after="120"/>
        <w:jc w:val="both"/>
      </w:pPr>
      <w:r>
        <w:t xml:space="preserve">1.1. Este documento integra os Termos de Uso e define as consequências do cancelamento de Reservas pelo Locatário, pelo Anfitrião ou por circunstâncias atenuantes, bem como os prazos e formas de reembolso.</w:t>
      </w:r>
    </w:p>
    <w:p>
      <w:pPr>
        <w:spacing w:after="120"/>
        <w:jc w:val="both"/>
      </w:pPr>
      <w:r>
        <w:t xml:space="preserve">1.2. Cada Anúncio adota uma de três políticas de cancelamento — </w:t>
      </w:r>
      <w:r>
        <w:rPr>
          <w:b/>
          <w:bCs/>
        </w:rPr>
        <w:t xml:space="preserve">Flexível</w:t>
      </w:r>
      <w:r>
        <w:t xml:space="preserve">, </w:t>
      </w:r>
      <w:r>
        <w:rPr>
          <w:b/>
          <w:bCs/>
        </w:rPr>
        <w:t xml:space="preserve">Moderada</w:t>
      </w:r>
      <w:r>
        <w:t xml:space="preserve"> ou </w:t>
      </w:r>
      <w:r>
        <w:rPr>
          <w:b/>
          <w:bCs/>
        </w:rPr>
        <w:t xml:space="preserve">Rígida</w:t>
      </w:r>
      <w:r>
        <w:t xml:space="preserve"> —, exibida no Anúncio e no resumo da Reserva antes do pagamento. A política aplicável é a vigente no momento da Reserva.</w:t>
      </w:r>
    </w:p>
    <w:p>
      <w:pPr>
        <w:spacing w:after="120"/>
        <w:jc w:val="both"/>
      </w:pPr>
      <w:r>
        <w:t xml:space="preserve">1.3. Os prazos são contados em horas até o </w:t>
      </w:r>
      <w:r>
        <w:rPr>
          <w:b/>
          <w:bCs/>
        </w:rPr>
        <w:t xml:space="preserve">início de cada Ocorrência</w:t>
      </w:r>
      <w:r>
        <w:t xml:space="preserve">, no Fuso do Espaço, a partir do momento em que o cancelamento é registrado na Plataforma.</w:t>
      </w:r>
    </w:p>
    <w:p>
      <w:pPr>
        <w:spacing w:after="120"/>
        <w:jc w:val="both"/>
      </w:pPr>
      <w:r>
        <w:t xml:space="preserve">1.4. Os percentuais das políticas incidem sobre o </w:t>
      </w:r>
      <w:r>
        <w:rPr>
          <w:b/>
          <w:bCs/>
        </w:rPr>
        <w:t xml:space="preserve">Valor Base</w:t>
      </w:r>
      <w:r>
        <w:t xml:space="preserve"> de cada Ocorrência. A Taxa de Limpeza, a Taxa de Serviço e o tributo sobre a Taxa de Serviço seguem as regras específicas das cláusulas 5 e 6.</w:t>
      </w:r>
    </w:p>
    <w:p>
      <w:pPr>
        <w:spacing w:after="120"/>
        <w:jc w:val="both"/>
      </w:pPr>
      <w:r>
        <w:t xml:space="preserve">1.5. As regras deste documento não afastam direitos mais favoráveis garantidos por lei imperativa ao Locatário consumidor, que sempre prevalecem.</w:t>
      </w:r>
    </w:p>
    <w:p>
      <w:pPr>
        <w:pStyle w:val="Heading2"/>
      </w:pPr>
      <w:r>
        <w:t xml:space="preserve">2. Ordem de aplicação</w:t>
      </w:r>
    </w:p>
    <w:p>
      <w:pPr>
        <w:spacing w:after="120"/>
        <w:jc w:val="both"/>
      </w:pPr>
      <w:r>
        <w:t xml:space="preserve">2.1. Ao processar um cancelamento pelo Locatário, a Plataforma verifica, nesta ordem:</w:t>
      </w:r>
    </w:p>
    <w:p>
      <w:pPr>
        <w:pStyle w:val="ListParagraph"/>
        <w:numPr>
          <w:ilvl w:val="0"/>
          <w:numId w:val="2"/>
        </w:numPr>
        <w:spacing w:after="60"/>
      </w:pPr>
      <w:r>
        <w:t xml:space="preserve">(a) </w:t>
      </w:r>
      <w:r>
        <w:rPr>
          <w:b/>
          <w:bCs/>
        </w:rPr>
        <w:t xml:space="preserve">janela de cortesia</w:t>
      </w:r>
      <w:r>
        <w:t xml:space="preserve"> (cláusula 3) — reembolso integral;</w:t>
      </w:r>
    </w:p>
    <w:p>
      <w:pPr>
        <w:pStyle w:val="ListParagraph"/>
        <w:numPr>
          <w:ilvl w:val="0"/>
          <w:numId w:val="2"/>
        </w:numPr>
        <w:spacing w:after="60"/>
      </w:pPr>
      <w:r>
        <w:t xml:space="preserve">(b) </w:t>
      </w:r>
      <w:r>
        <w:rPr>
          <w:b/>
          <w:bCs/>
        </w:rPr>
        <w:t xml:space="preserve">direito de arrependimento</w:t>
      </w:r>
      <w:r>
        <w:t xml:space="preserve"> do país do Espaço (cláusula 4) — reembolso integral;</w:t>
      </w:r>
    </w:p>
    <w:p>
      <w:pPr>
        <w:pStyle w:val="ListParagraph"/>
        <w:numPr>
          <w:ilvl w:val="0"/>
          <w:numId w:val="2"/>
        </w:numPr>
        <w:spacing w:after="60"/>
      </w:pPr>
      <w:r>
        <w:t xml:space="preserve">(c) </w:t>
      </w:r>
      <w:r>
        <w:rPr>
          <w:b/>
          <w:bCs/>
        </w:rPr>
        <w:t xml:space="preserve">política de cancelamento</w:t>
      </w:r>
      <w:r>
        <w:t xml:space="preserve"> do Anúncio, Ocorrência por Ocorrência (cláusula 5).</w:t>
      </w:r>
    </w:p>
    <w:p>
      <w:pPr>
        <w:spacing w:after="120"/>
        <w:jc w:val="both"/>
      </w:pPr>
      <w:r>
        <w:t xml:space="preserve">2.2. Circunstâncias atenuantes (cláusula 8) e cancelamento pelo Anfitrião (cláusula 7) têm regras próprias.</w:t>
      </w:r>
    </w:p>
    <w:p>
      <w:pPr>
        <w:pStyle w:val="Heading2"/>
      </w:pPr>
      <w:r>
        <w:t xml:space="preserve">3. Janela de cortesia</w:t>
      </w:r>
    </w:p>
    <w:p>
      <w:pPr>
        <w:spacing w:after="120"/>
        <w:jc w:val="both"/>
      </w:pPr>
      <w:r>
        <w:t xml:space="preserve">3.1. O Locatário pode cancelar com </w:t>
      </w:r>
      <w:r>
        <w:rPr>
          <w:b/>
          <w:bCs/>
        </w:rPr>
        <w:t xml:space="preserve">reembolso integral</w:t>
      </w:r>
      <w:r>
        <w:t xml:space="preserve"> (Valor Base, Taxa de Limpeza, Taxa de Serviço e tributo) em até </w:t>
      </w:r>
      <w:r>
        <w:rPr>
          <w:b/>
          <w:bCs/>
        </w:rPr>
        <w:t xml:space="preserve">24 horas após a confirmação da Reserva</w:t>
      </w:r>
      <w:r>
        <w:t xml:space="preserve">, desde que a Reserva tenha sido feita com </w:t>
      </w:r>
      <w:r>
        <w:rPr>
          <w:b/>
          <w:bCs/>
        </w:rPr>
        <w:t xml:space="preserve">pelo menos 48 horas de antecedência</w:t>
      </w:r>
      <w:r>
        <w:t xml:space="preserve"> do início da primeira Ocorrência e que nenhuma Ocorrência tenha começado.</w:t>
      </w:r>
    </w:p>
    <w:p>
      <w:pPr>
        <w:spacing w:after="120"/>
        <w:jc w:val="both"/>
      </w:pPr>
      <w:r>
        <w:t xml:space="preserve">3.2. A janela de cortesia se aplica a todos os Locatários, consumidores ou não, em todos os países.</w:t>
      </w:r>
    </w:p>
    <w:p>
      <w:pPr>
        <w:pStyle w:val="Heading2"/>
      </w:pPr>
      <w:r>
        <w:t xml:space="preserve">4. Direito de arrependimento</w:t>
      </w:r>
    </w:p>
    <w:p>
      <w:pPr>
        <w:spacing w:after="120"/>
        <w:jc w:val="both"/>
      </w:pPr>
      <w:r>
        <w:t xml:space="preserve">4.1. O Locatário que se qualifique como consumidor pode desistir da Reserva, com </w:t>
      </w:r>
      <w:r>
        <w:rPr>
          <w:b/>
          <w:bCs/>
        </w:rPr>
        <w:t xml:space="preserve">reembolso integral</w:t>
      </w:r>
      <w:r>
        <w:t xml:space="preserve"> de todos os valores pagos, dentro do prazo de arrependimento previsto para o país do Espaço, contado da data da Reserva, </w:t>
      </w:r>
      <w:r>
        <w:rPr>
          <w:b/>
          <w:bCs/>
        </w:rPr>
        <w:t xml:space="preserve">desde que nenhuma Ocorrência tenha começado</w:t>
      </w:r>
      <w:r>
        <w:t xml:space="preserve">.</w:t>
      </w:r>
    </w:p>
    <w:p>
      <w:pPr>
        <w:spacing w:after="120"/>
        <w:jc w:val="both"/>
      </w:pPr>
      <w:r>
        <w:t xml:space="preserve">4.2. Prazos parametrizados na Plataforma: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shd w:fill="E6F2F1" w:color="auto" w:val="clear"/>
            <w:tcMar>
              <w:top w:type="dxa" w:w="60"/>
              <w:left w:type="dxa" w:w="100"/>
              <w:bottom w:type="dxa" w:w="60"/>
              <w:right w:type="dxa" w:w="100"/>
            </w:tcMar>
          </w:tcPr>
          <w:p>
            <w:r>
              <w:rPr>
                <w:b/>
                <w:bCs/>
                <w:sz w:val="19"/>
                <w:szCs w:val="19"/>
              </w:rPr>
              <w:t xml:space="preserve">País</w:t>
            </w:r>
          </w:p>
        </w:tc>
        <w:tc>
          <w:tcPr>
            <w:tcW w:type="dxa" w:w="3212"/>
            <w:shd w:fill="E6F2F1" w:color="auto" w:val="clear"/>
            <w:tcMar>
              <w:top w:type="dxa" w:w="60"/>
              <w:left w:type="dxa" w:w="100"/>
              <w:bottom w:type="dxa" w:w="60"/>
              <w:right w:type="dxa" w:w="100"/>
            </w:tcMar>
          </w:tcPr>
          <w:p>
            <w:r>
              <w:rPr>
                <w:b/>
                <w:bCs/>
                <w:sz w:val="19"/>
                <w:szCs w:val="19"/>
              </w:rPr>
              <w:t xml:space="preserve">Prazo</w:t>
            </w:r>
          </w:p>
        </w:tc>
        <w:tc>
          <w:tcPr>
            <w:tcW w:type="dxa" w:w="3214"/>
            <w:shd w:fill="E6F2F1" w:color="auto" w:val="clear"/>
            <w:tcMar>
              <w:top w:type="dxa" w:w="60"/>
              <w:left w:type="dxa" w:w="100"/>
              <w:bottom w:type="dxa" w:w="60"/>
              <w:right w:type="dxa" w:w="100"/>
            </w:tcMar>
          </w:tcPr>
          <w:p>
            <w:r>
              <w:rPr>
                <w:b/>
                <w:bCs/>
                <w:sz w:val="19"/>
                <w:szCs w:val="19"/>
              </w:rPr>
              <w:t xml:space="preserve">Fundamento de referência</w:t>
            </w:r>
          </w:p>
        </w:tc>
      </w:tr>
      <w:tr>
        <w:trPr>
          <w:tblHeader w:val="off"/>
        </w:trPr>
        <w:tc>
          <w:tcPr>
            <w:tcW w:type="dxa" w:w="3212"/>
            <w:tcMar>
              <w:top w:type="dxa" w:w="60"/>
              <w:left w:type="dxa" w:w="100"/>
              <w:bottom w:type="dxa" w:w="60"/>
              <w:right w:type="dxa" w:w="100"/>
            </w:tcMar>
          </w:tcPr>
          <w:p>
            <w:r>
              <w:rPr>
                <w:sz w:val="19"/>
                <w:szCs w:val="19"/>
              </w:rPr>
              <w:t xml:space="preserve">Brasil</w:t>
            </w:r>
          </w:p>
        </w:tc>
        <w:tc>
          <w:tcPr>
            <w:tcW w:type="dxa" w:w="3212"/>
            <w:tcMar>
              <w:top w:type="dxa" w:w="60"/>
              <w:left w:type="dxa" w:w="100"/>
              <w:bottom w:type="dxa" w:w="60"/>
              <w:right w:type="dxa" w:w="100"/>
            </w:tcMar>
          </w:tcPr>
          <w:p>
            <w:r>
              <w:rPr>
                <w:sz w:val="19"/>
                <w:szCs w:val="19"/>
              </w:rPr>
              <w:t xml:space="preserve">7 dias</w:t>
            </w:r>
          </w:p>
        </w:tc>
        <w:tc>
          <w:tcPr>
            <w:tcW w:type="dxa" w:w="3214"/>
            <w:tcMar>
              <w:top w:type="dxa" w:w="60"/>
              <w:left w:type="dxa" w:w="100"/>
              <w:bottom w:type="dxa" w:w="60"/>
              <w:right w:type="dxa" w:w="100"/>
            </w:tcMar>
          </w:tcPr>
          <w:p>
            <w:r>
              <w:rPr>
                <w:sz w:val="19"/>
                <w:szCs w:val="19"/>
              </w:rPr>
              <w:t xml:space="preserve">CDC, Lei 8.078/1990, art. 49</w:t>
            </w:r>
          </w:p>
        </w:tc>
      </w:tr>
      <w:tr>
        <w:trPr>
          <w:tblHeader w:val="off"/>
        </w:trPr>
        <w:tc>
          <w:tcPr>
            <w:tcW w:type="dxa" w:w="3212"/>
            <w:tcMar>
              <w:top w:type="dxa" w:w="60"/>
              <w:left w:type="dxa" w:w="100"/>
              <w:bottom w:type="dxa" w:w="60"/>
              <w:right w:type="dxa" w:w="100"/>
            </w:tcMar>
          </w:tcPr>
          <w:p>
            <w:r>
              <w:rPr>
                <w:sz w:val="19"/>
                <w:szCs w:val="19"/>
              </w:rPr>
              <w:t xml:space="preserve">Argentina</w:t>
            </w:r>
          </w:p>
        </w:tc>
        <w:tc>
          <w:tcPr>
            <w:tcW w:type="dxa" w:w="3212"/>
            <w:tcMar>
              <w:top w:type="dxa" w:w="60"/>
              <w:left w:type="dxa" w:w="100"/>
              <w:bottom w:type="dxa" w:w="60"/>
              <w:right w:type="dxa" w:w="100"/>
            </w:tcMar>
          </w:tcPr>
          <w:p>
            <w:r>
              <w:rPr>
                <w:sz w:val="19"/>
                <w:szCs w:val="19"/>
              </w:rPr>
              <w:t xml:space="preserve">10 dias corridos</w:t>
            </w:r>
          </w:p>
        </w:tc>
        <w:tc>
          <w:tcPr>
            <w:tcW w:type="dxa" w:w="3214"/>
            <w:tcMar>
              <w:top w:type="dxa" w:w="60"/>
              <w:left w:type="dxa" w:w="100"/>
              <w:bottom w:type="dxa" w:w="60"/>
              <w:right w:type="dxa" w:w="100"/>
            </w:tcMar>
          </w:tcPr>
          <w:p>
            <w:r>
              <w:rPr>
                <w:sz w:val="19"/>
                <w:szCs w:val="19"/>
              </w:rPr>
              <w:t xml:space="preserve">Ley 24.240, art. 34; Código Civil y Comercial, art. 1110</w:t>
            </w:r>
          </w:p>
        </w:tc>
      </w:tr>
      <w:tr>
        <w:trPr>
          <w:tblHeader w:val="off"/>
        </w:trPr>
        <w:tc>
          <w:tcPr>
            <w:tcW w:type="dxa" w:w="3212"/>
            <w:tcMar>
              <w:top w:type="dxa" w:w="60"/>
              <w:left w:type="dxa" w:w="100"/>
              <w:bottom w:type="dxa" w:w="60"/>
              <w:right w:type="dxa" w:w="100"/>
            </w:tcMar>
          </w:tcPr>
          <w:p>
            <w:r>
              <w:rPr>
                <w:sz w:val="19"/>
                <w:szCs w:val="19"/>
              </w:rPr>
              <w:t xml:space="preserve">Chile</w:t>
            </w:r>
          </w:p>
        </w:tc>
        <w:tc>
          <w:tcPr>
            <w:tcW w:type="dxa" w:w="3212"/>
            <w:tcMar>
              <w:top w:type="dxa" w:w="60"/>
              <w:left w:type="dxa" w:w="100"/>
              <w:bottom w:type="dxa" w:w="60"/>
              <w:right w:type="dxa" w:w="100"/>
            </w:tcMar>
          </w:tcPr>
          <w:p>
            <w:r>
              <w:rPr>
                <w:sz w:val="19"/>
                <w:szCs w:val="19"/>
              </w:rPr>
              <w:t xml:space="preserve">10 dias</w:t>
            </w:r>
          </w:p>
        </w:tc>
        <w:tc>
          <w:tcPr>
            <w:tcW w:type="dxa" w:w="3214"/>
            <w:tcMar>
              <w:top w:type="dxa" w:w="60"/>
              <w:left w:type="dxa" w:w="100"/>
              <w:bottom w:type="dxa" w:w="60"/>
              <w:right w:type="dxa" w:w="100"/>
            </w:tcMar>
          </w:tcPr>
          <w:p>
            <w:r>
              <w:rPr>
                <w:sz w:val="19"/>
                <w:szCs w:val="19"/>
              </w:rPr>
              <w:t xml:space="preserve">Ley 19.496, art. 3º bis, "b" (retracto em contratos a distância, antes da prestação do serviço)</w:t>
            </w:r>
          </w:p>
        </w:tc>
      </w:tr>
      <w:tr>
        <w:trPr>
          <w:tblHeader w:val="off"/>
        </w:trPr>
        <w:tc>
          <w:tcPr>
            <w:tcW w:type="dxa" w:w="3212"/>
            <w:tcMar>
              <w:top w:type="dxa" w:w="60"/>
              <w:left w:type="dxa" w:w="100"/>
              <w:bottom w:type="dxa" w:w="60"/>
              <w:right w:type="dxa" w:w="100"/>
            </w:tcMar>
          </w:tcPr>
          <w:p>
            <w:r>
              <w:rPr>
                <w:sz w:val="19"/>
                <w:szCs w:val="19"/>
              </w:rPr>
              <w:t xml:space="preserve">Colômbia</w:t>
            </w:r>
          </w:p>
        </w:tc>
        <w:tc>
          <w:tcPr>
            <w:tcW w:type="dxa" w:w="3212"/>
            <w:tcMar>
              <w:top w:type="dxa" w:w="60"/>
              <w:left w:type="dxa" w:w="100"/>
              <w:bottom w:type="dxa" w:w="60"/>
              <w:right w:type="dxa" w:w="100"/>
            </w:tcMar>
          </w:tcPr>
          <w:p>
            <w:r>
              <w:rPr>
                <w:sz w:val="19"/>
                <w:szCs w:val="19"/>
              </w:rPr>
              <w:t xml:space="preserve">5 dias (lei: 5 días hábiles)</w:t>
            </w:r>
          </w:p>
        </w:tc>
        <w:tc>
          <w:tcPr>
            <w:tcW w:type="dxa" w:w="3214"/>
            <w:tcMar>
              <w:top w:type="dxa" w:w="60"/>
              <w:left w:type="dxa" w:w="100"/>
              <w:bottom w:type="dxa" w:w="60"/>
              <w:right w:type="dxa" w:w="100"/>
            </w:tcMar>
          </w:tcPr>
          <w:p>
            <w:r>
              <w:rPr>
                <w:sz w:val="19"/>
                <w:szCs w:val="19"/>
              </w:rPr>
              <w:t xml:space="preserve">Ley 1480 de 2011, art. 47 (retracto)</w:t>
            </w:r>
          </w:p>
        </w:tc>
      </w:tr>
      <w:tr>
        <w:trPr>
          <w:tblHeader w:val="off"/>
        </w:trPr>
        <w:tc>
          <w:tcPr>
            <w:tcW w:type="dxa" w:w="3212"/>
            <w:tcMar>
              <w:top w:type="dxa" w:w="60"/>
              <w:left w:type="dxa" w:w="100"/>
              <w:bottom w:type="dxa" w:w="60"/>
              <w:right w:type="dxa" w:w="100"/>
            </w:tcMar>
          </w:tcPr>
          <w:p>
            <w:r>
              <w:rPr>
                <w:sz w:val="19"/>
                <w:szCs w:val="19"/>
              </w:rPr>
              <w:t xml:space="preserve">Uruguai</w:t>
            </w:r>
          </w:p>
        </w:tc>
        <w:tc>
          <w:tcPr>
            <w:tcW w:type="dxa" w:w="3212"/>
            <w:tcMar>
              <w:top w:type="dxa" w:w="60"/>
              <w:left w:type="dxa" w:w="100"/>
              <w:bottom w:type="dxa" w:w="60"/>
              <w:right w:type="dxa" w:w="100"/>
            </w:tcMar>
          </w:tcPr>
          <w:p>
            <w:r>
              <w:rPr>
                <w:sz w:val="19"/>
                <w:szCs w:val="19"/>
              </w:rPr>
              <w:t xml:space="preserve">5 dias (lei: 5 días hábiles)</w:t>
            </w:r>
          </w:p>
        </w:tc>
        <w:tc>
          <w:tcPr>
            <w:tcW w:type="dxa" w:w="3214"/>
            <w:tcMar>
              <w:top w:type="dxa" w:w="60"/>
              <w:left w:type="dxa" w:w="100"/>
              <w:bottom w:type="dxa" w:w="60"/>
              <w:right w:type="dxa" w:w="100"/>
            </w:tcMar>
          </w:tcPr>
          <w:p>
            <w:r>
              <w:rPr>
                <w:sz w:val="19"/>
                <w:szCs w:val="19"/>
              </w:rPr>
              <w:t xml:space="preserve">Ley 17.250, art. 16</w:t>
            </w:r>
          </w:p>
        </w:tc>
      </w:tr>
      <w:tr>
        <w:trPr>
          <w:tblHeader w:val="off"/>
        </w:trPr>
        <w:tc>
          <w:tcPr>
            <w:tcW w:type="dxa" w:w="3212"/>
            <w:tcMar>
              <w:top w:type="dxa" w:w="60"/>
              <w:left w:type="dxa" w:w="100"/>
              <w:bottom w:type="dxa" w:w="60"/>
              <w:right w:type="dxa" w:w="100"/>
            </w:tcMar>
          </w:tcPr>
          <w:p>
            <w:r>
              <w:rPr>
                <w:sz w:val="19"/>
                <w:szCs w:val="19"/>
              </w:rPr>
              <w:t xml:space="preserve">Costa Rica</w:t>
            </w:r>
          </w:p>
        </w:tc>
        <w:tc>
          <w:tcPr>
            <w:tcW w:type="dxa" w:w="3212"/>
            <w:tcMar>
              <w:top w:type="dxa" w:w="60"/>
              <w:left w:type="dxa" w:w="100"/>
              <w:bottom w:type="dxa" w:w="60"/>
              <w:right w:type="dxa" w:w="100"/>
            </w:tcMar>
          </w:tcPr>
          <w:p>
            <w:r>
              <w:rPr>
                <w:sz w:val="19"/>
                <w:szCs w:val="19"/>
              </w:rPr>
              <w:t xml:space="preserve">8 dias (lei: prazo contado em dias úteis)</w:t>
            </w:r>
          </w:p>
        </w:tc>
        <w:tc>
          <w:tcPr>
            <w:tcW w:type="dxa" w:w="3214"/>
            <w:tcMar>
              <w:top w:type="dxa" w:w="60"/>
              <w:left w:type="dxa" w:w="100"/>
              <w:bottom w:type="dxa" w:w="60"/>
              <w:right w:type="dxa" w:w="100"/>
            </w:tcMar>
          </w:tcPr>
          <w:p>
            <w:r>
              <w:rPr>
                <w:sz w:val="19"/>
                <w:szCs w:val="19"/>
              </w:rPr>
              <w:t xml:space="preserve">Ley 7472 e seu Reglamento</w:t>
            </w:r>
          </w:p>
        </w:tc>
      </w:tr>
      <w:tr>
        <w:trPr>
          <w:tblHeader w:val="off"/>
        </w:trPr>
        <w:tc>
          <w:tcPr>
            <w:tcW w:type="dxa" w:w="3212"/>
            <w:tcMar>
              <w:top w:type="dxa" w:w="60"/>
              <w:left w:type="dxa" w:w="100"/>
              <w:bottom w:type="dxa" w:w="60"/>
              <w:right w:type="dxa" w:w="100"/>
            </w:tcMar>
          </w:tcPr>
          <w:p>
            <w:r>
              <w:rPr>
                <w:sz w:val="19"/>
                <w:szCs w:val="19"/>
              </w:rPr>
              <w:t xml:space="preserve">El Salvador</w:t>
            </w:r>
          </w:p>
        </w:tc>
        <w:tc>
          <w:tcPr>
            <w:tcW w:type="dxa" w:w="3212"/>
            <w:tcMar>
              <w:top w:type="dxa" w:w="60"/>
              <w:left w:type="dxa" w:w="100"/>
              <w:bottom w:type="dxa" w:w="60"/>
              <w:right w:type="dxa" w:w="100"/>
            </w:tcMar>
          </w:tcPr>
          <w:p>
            <w:r>
              <w:rPr>
                <w:sz w:val="19"/>
                <w:szCs w:val="19"/>
              </w:rPr>
              <w:t xml:space="preserve">8 dias (verificar contagem legal)</w:t>
            </w:r>
          </w:p>
        </w:tc>
        <w:tc>
          <w:tcPr>
            <w:tcW w:type="dxa" w:w="3214"/>
            <w:tcMar>
              <w:top w:type="dxa" w:w="60"/>
              <w:left w:type="dxa" w:w="100"/>
              <w:bottom w:type="dxa" w:w="60"/>
              <w:right w:type="dxa" w:w="100"/>
            </w:tcMar>
          </w:tcPr>
          <w:p>
            <w:r>
              <w:rPr>
                <w:sz w:val="19"/>
                <w:szCs w:val="19"/>
              </w:rPr>
              <w:t xml:space="preserve">Ley de Protección al Consumidor (Decreto Legislativo 776/2005)</w:t>
            </w:r>
          </w:p>
        </w:tc>
      </w:tr>
      <w:tr>
        <w:trPr>
          <w:tblHeader w:val="off"/>
        </w:trPr>
        <w:tc>
          <w:tcPr>
            <w:tcW w:type="dxa" w:w="3212"/>
            <w:tcMar>
              <w:top w:type="dxa" w:w="60"/>
              <w:left w:type="dxa" w:w="100"/>
              <w:bottom w:type="dxa" w:w="60"/>
              <w:right w:type="dxa" w:w="100"/>
            </w:tcMar>
          </w:tcPr>
          <w:p>
            <w:r>
              <w:rPr>
                <w:sz w:val="19"/>
                <w:szCs w:val="19"/>
              </w:rPr>
              <w:t xml:space="preserve">México</w:t>
            </w:r>
          </w:p>
        </w:tc>
        <w:tc>
          <w:tcPr>
            <w:tcW w:type="dxa" w:w="3212"/>
            <w:tcMar>
              <w:top w:type="dxa" w:w="60"/>
              <w:left w:type="dxa" w:w="100"/>
              <w:bottom w:type="dxa" w:w="60"/>
              <w:right w:type="dxa" w:w="100"/>
            </w:tcMar>
          </w:tcPr>
          <w:p>
            <w:r>
              <w:rPr>
                <w:sz w:val="19"/>
                <w:szCs w:val="19"/>
              </w:rPr>
              <w:t xml:space="preserve">5 dias (lei: 5 días hábiles)</w:t>
            </w:r>
          </w:p>
        </w:tc>
        <w:tc>
          <w:tcPr>
            <w:tcW w:type="dxa" w:w="3214"/>
            <w:tcMar>
              <w:top w:type="dxa" w:w="60"/>
              <w:left w:type="dxa" w:w="100"/>
              <w:bottom w:type="dxa" w:w="60"/>
              <w:right w:type="dxa" w:w="100"/>
            </w:tcMar>
          </w:tcPr>
          <w:p>
            <w:r>
              <w:rPr>
                <w:sz w:val="19"/>
                <w:szCs w:val="19"/>
              </w:rPr>
              <w:t xml:space="preserve">Ley Federal de Protección al Consumidor, art. 56</w:t>
            </w:r>
          </w:p>
        </w:tc>
      </w:tr>
      <w:tr>
        <w:trPr>
          <w:tblHeader w:val="off"/>
        </w:trPr>
        <w:tc>
          <w:tcPr>
            <w:tcW w:type="dxa" w:w="3212"/>
            <w:tcMar>
              <w:top w:type="dxa" w:w="60"/>
              <w:left w:type="dxa" w:w="100"/>
              <w:bottom w:type="dxa" w:w="60"/>
              <w:right w:type="dxa" w:w="100"/>
            </w:tcMar>
          </w:tcPr>
          <w:p>
            <w:r>
              <w:rPr>
                <w:sz w:val="19"/>
                <w:szCs w:val="19"/>
              </w:rPr>
              <w:t xml:space="preserve">Portugal, Espanha, Itália, França, Alemanha</w:t>
            </w:r>
          </w:p>
        </w:tc>
        <w:tc>
          <w:tcPr>
            <w:tcW w:type="dxa" w:w="3212"/>
            <w:tcMar>
              <w:top w:type="dxa" w:w="60"/>
              <w:left w:type="dxa" w:w="100"/>
              <w:bottom w:type="dxa" w:w="60"/>
              <w:right w:type="dxa" w:w="100"/>
            </w:tcMar>
          </w:tcPr>
          <w:p>
            <w:r>
              <w:rPr>
                <w:sz w:val="19"/>
                <w:szCs w:val="19"/>
              </w:rPr>
              <w:t xml:space="preserve">14 dias</w:t>
            </w:r>
          </w:p>
        </w:tc>
        <w:tc>
          <w:tcPr>
            <w:tcW w:type="dxa" w:w="3214"/>
            <w:tcMar>
              <w:top w:type="dxa" w:w="60"/>
              <w:left w:type="dxa" w:w="100"/>
              <w:bottom w:type="dxa" w:w="60"/>
              <w:right w:type="dxa" w:w="100"/>
            </w:tcMar>
          </w:tcPr>
          <w:p>
            <w:r>
              <w:rPr>
                <w:sz w:val="19"/>
                <w:szCs w:val="19"/>
              </w:rPr>
              <w:t xml:space="preserve">Diretiva 2011/83/UE e leis nacionais de transposição (DL 24/2014; TRLGDCU; Codice del Consumo; Code de la consommation; BGB)</w:t>
            </w:r>
          </w:p>
        </w:tc>
      </w:tr>
      <w:tr>
        <w:trPr>
          <w:tblHeader w:val="off"/>
        </w:trPr>
        <w:tc>
          <w:tcPr>
            <w:tcW w:type="dxa" w:w="3212"/>
            <w:tcMar>
              <w:top w:type="dxa" w:w="60"/>
              <w:left w:type="dxa" w:w="100"/>
              <w:bottom w:type="dxa" w:w="60"/>
              <w:right w:type="dxa" w:w="100"/>
            </w:tcMar>
          </w:tcPr>
          <w:p>
            <w:r>
              <w:rPr>
                <w:sz w:val="19"/>
                <w:szCs w:val="19"/>
              </w:rPr>
              <w:t xml:space="preserve">Reino Unido</w:t>
            </w:r>
          </w:p>
        </w:tc>
        <w:tc>
          <w:tcPr>
            <w:tcW w:type="dxa" w:w="3212"/>
            <w:tcMar>
              <w:top w:type="dxa" w:w="60"/>
              <w:left w:type="dxa" w:w="100"/>
              <w:bottom w:type="dxa" w:w="60"/>
              <w:right w:type="dxa" w:w="100"/>
            </w:tcMar>
          </w:tcPr>
          <w:p>
            <w:r>
              <w:rPr>
                <w:sz w:val="19"/>
                <w:szCs w:val="19"/>
              </w:rPr>
              <w:t xml:space="preserve">14 dias</w:t>
            </w:r>
          </w:p>
        </w:tc>
        <w:tc>
          <w:tcPr>
            <w:tcW w:type="dxa" w:w="3214"/>
            <w:tcMar>
              <w:top w:type="dxa" w:w="60"/>
              <w:left w:type="dxa" w:w="100"/>
              <w:bottom w:type="dxa" w:w="60"/>
              <w:right w:type="dxa" w:w="100"/>
            </w:tcMar>
          </w:tcPr>
          <w:p>
            <w:r>
              <w:rPr>
                <w:sz w:val="19"/>
                <w:szCs w:val="19"/>
              </w:rPr>
              <w:t xml:space="preserve">Consumer Contracts Regulations 2013</w:t>
            </w:r>
          </w:p>
        </w:tc>
      </w:tr>
      <w:tr>
        <w:trPr>
          <w:tblHeader w:val="off"/>
        </w:trPr>
        <w:tc>
          <w:tcPr>
            <w:tcW w:type="dxa" w:w="3212"/>
            <w:tcMar>
              <w:top w:type="dxa" w:w="60"/>
              <w:left w:type="dxa" w:w="100"/>
              <w:bottom w:type="dxa" w:w="60"/>
              <w:right w:type="dxa" w:w="100"/>
            </w:tcMar>
          </w:tcPr>
          <w:p>
            <w:r>
              <w:rPr>
                <w:sz w:val="19"/>
                <w:szCs w:val="19"/>
              </w:rPr>
              <w:t xml:space="preserve">Israel</w:t>
            </w:r>
          </w:p>
        </w:tc>
        <w:tc>
          <w:tcPr>
            <w:tcW w:type="dxa" w:w="3212"/>
            <w:tcMar>
              <w:top w:type="dxa" w:w="60"/>
              <w:left w:type="dxa" w:w="100"/>
              <w:bottom w:type="dxa" w:w="60"/>
              <w:right w:type="dxa" w:w="100"/>
            </w:tcMar>
          </w:tcPr>
          <w:p>
            <w:r>
              <w:rPr>
                <w:sz w:val="19"/>
                <w:szCs w:val="19"/>
              </w:rPr>
              <w:t xml:space="preserve">14 dias</w:t>
            </w:r>
          </w:p>
        </w:tc>
        <w:tc>
          <w:tcPr>
            <w:tcW w:type="dxa" w:w="3214"/>
            <w:tcMar>
              <w:top w:type="dxa" w:w="60"/>
              <w:left w:type="dxa" w:w="100"/>
              <w:bottom w:type="dxa" w:w="60"/>
              <w:right w:type="dxa" w:w="100"/>
            </w:tcMar>
          </w:tcPr>
          <w:p>
            <w:r>
              <w:rPr>
                <w:sz w:val="19"/>
                <w:szCs w:val="19"/>
              </w:rPr>
              <w:t xml:space="preserve">Consumer Protection Law 5741-1981, art. 14C</w:t>
            </w:r>
          </w:p>
        </w:tc>
      </w:tr>
      <w:tr>
        <w:trPr>
          <w:tblHeader w:val="off"/>
        </w:trPr>
        <w:tc>
          <w:tcPr>
            <w:tcW w:type="dxa" w:w="3212"/>
            <w:tcMar>
              <w:top w:type="dxa" w:w="60"/>
              <w:left w:type="dxa" w:w="100"/>
              <w:bottom w:type="dxa" w:w="60"/>
              <w:right w:type="dxa" w:w="100"/>
            </w:tcMar>
          </w:tcPr>
          <w:p>
            <w:r>
              <w:rPr>
                <w:sz w:val="19"/>
                <w:szCs w:val="19"/>
              </w:rPr>
              <w:t xml:space="preserve">Equador</w:t>
            </w:r>
          </w:p>
        </w:tc>
        <w:tc>
          <w:tcPr>
            <w:tcW w:type="dxa" w:w="3212"/>
            <w:tcMar>
              <w:top w:type="dxa" w:w="60"/>
              <w:left w:type="dxa" w:w="100"/>
              <w:bottom w:type="dxa" w:w="60"/>
              <w:right w:type="dxa" w:w="100"/>
            </w:tcMar>
          </w:tcPr>
          <w:p>
            <w:r>
              <w:rPr>
                <w:sz w:val="19"/>
                <w:szCs w:val="19"/>
              </w:rPr>
              <w:t xml:space="preserve">Não parametrizado (lei: 3 dias)</w:t>
            </w:r>
          </w:p>
        </w:tc>
        <w:tc>
          <w:tcPr>
            <w:tcW w:type="dxa" w:w="3214"/>
            <w:tcMar>
              <w:top w:type="dxa" w:w="60"/>
              <w:left w:type="dxa" w:w="100"/>
              <w:bottom w:type="dxa" w:w="60"/>
              <w:right w:type="dxa" w:w="100"/>
            </w:tcMar>
          </w:tcPr>
          <w:p>
            <w:r>
              <w:rPr>
                <w:sz w:val="19"/>
                <w:szCs w:val="19"/>
              </w:rPr>
              <w:t xml:space="preserve">Ley Orgánica de Defensa del Consumidor, art. 45 — prevalece a lei</w:t>
            </w:r>
          </w:p>
        </w:tc>
      </w:tr>
      <w:tr>
        <w:trPr>
          <w:tblHeader w:val="off"/>
        </w:trPr>
        <w:tc>
          <w:tcPr>
            <w:tcW w:type="dxa" w:w="3212"/>
            <w:tcMar>
              <w:top w:type="dxa" w:w="60"/>
              <w:left w:type="dxa" w:w="100"/>
              <w:bottom w:type="dxa" w:w="60"/>
              <w:right w:type="dxa" w:w="100"/>
            </w:tcMar>
          </w:tcPr>
          <w:p>
            <w:r>
              <w:rPr>
                <w:sz w:val="19"/>
                <w:szCs w:val="19"/>
              </w:rPr>
              <w:t xml:space="preserve">Demais países atendidos</w:t>
            </w:r>
          </w:p>
        </w:tc>
        <w:tc>
          <w:tcPr>
            <w:tcW w:type="dxa" w:w="3212"/>
            <w:tcMar>
              <w:top w:type="dxa" w:w="60"/>
              <w:left w:type="dxa" w:w="100"/>
              <w:bottom w:type="dxa" w:w="60"/>
              <w:right w:type="dxa" w:w="100"/>
            </w:tcMar>
          </w:tcPr>
          <w:p>
            <w:r>
              <w:rPr>
                <w:sz w:val="19"/>
                <w:szCs w:val="19"/>
              </w:rPr>
              <w:t xml:space="preserve">Não parametrizado</w:t>
            </w:r>
          </w:p>
        </w:tc>
        <w:tc>
          <w:tcPr>
            <w:tcW w:type="dxa" w:w="3214"/>
            <w:tcMar>
              <w:top w:type="dxa" w:w="60"/>
              <w:left w:type="dxa" w:w="100"/>
              <w:bottom w:type="dxa" w:w="60"/>
              <w:right w:type="dxa" w:w="100"/>
            </w:tcMar>
          </w:tcPr>
          <w:p>
            <w:r>
              <w:rPr>
                <w:sz w:val="19"/>
                <w:szCs w:val="19"/>
              </w:rPr>
              <w:t xml:space="preserve">Aplicam-se a janela de cortesia, a política do Anúncio e eventuais direitos legais locais</w:t>
            </w:r>
          </w:p>
        </w:tc>
      </w:tr>
    </w:tbl>
    <w:p/>
    <w:p>
      <w:pPr>
        <w:spacing w:after="120"/>
        <w:jc w:val="both"/>
      </w:pPr>
      <w:r>
        <w:t xml:space="preserve">4.3. Na Plataforma, o prazo é computado em dias corridos a partir do momento da Reserva. Quando a lei local previr contagem em dias úteis, prazo maior ou hipótese não parametrizada (por exemplo, "5 días hábiles" na Colômbia, no Uruguai e no México, contagem em dias úteis na Costa Rica, ou 3 dias no Equador), </w:t>
      </w:r>
      <w:r>
        <w:rPr>
          <w:b/>
          <w:bCs/>
        </w:rPr>
        <w:t xml:space="preserve">prevalece a regra legal mais favorável ao consumidor</w:t>
      </w:r>
      <w:r>
        <w:t xml:space="preserve">, e o Locatário pode exercer o direito pela Central de Resolução ou pelo e-mail support@space-hour.com.</w:t>
      </w:r>
    </w:p>
    <w:p>
      <w:pPr>
        <w:spacing w:after="120"/>
        <w:jc w:val="both"/>
      </w:pPr>
      <w:r>
        <w:t xml:space="preserve">4.4. Em alguns ordenamentos (por exemplo, União Europeia e Reino Unido), a lei permite excluir o direito de desistência em serviços prestados em data determinada. A Plataforma, por liberalidade, concede o direito nos prazos da tabela a consumidores, sempre antes do início da primeira Ocorrência.</w:t>
      </w:r>
    </w:p>
    <w:p>
      <w:pPr>
        <w:spacing w:after="120"/>
        <w:jc w:val="both"/>
      </w:pPr>
      <w:r>
        <w:t xml:space="preserve">4.5. O direito de arrependimento não se aplica a Locatários que contratam para fins profissionais quando a lei local não os equiparar a consumidores; a esses se aplicam a janela de cortesia e a política do Anúncio.</w:t>
      </w:r>
    </w:p>
    <w:p>
      <w:pPr>
        <w:spacing w:after="120"/>
        <w:jc w:val="both"/>
      </w:pPr>
      <w:r>
        <w:t xml:space="preserve">4.6. </w:t>
      </w:r>
      <w:r>
        <w:rPr>
          <w:b/>
          <w:bCs/>
        </w:rPr>
        <w:t xml:space="preserve">Séries já iniciadas.</w:t>
      </w:r>
      <w:r>
        <w:t xml:space="preserve"> Quando a lei local não condicionar o direito de arrependimento ao não início do serviço (por exemplo, no Brasil, pelo art. 49 do CDC), o Locatário consumidor pode, dentro do prazo legal, pedir pela Central de Resolução a desistência das Ocorrências futuras de uma série cuja primeira Ocorrência já tenha começado, com reembolso integral dessas Ocorrências.</w:t>
      </w:r>
    </w:p>
    <w:p>
      <w:pPr>
        <w:spacing w:after="120"/>
        <w:jc w:val="both"/>
      </w:pPr>
      <w:r>
        <w:t xml:space="preserve">4.7. </w:t>
      </w:r>
      <w:r>
        <w:rPr>
          <w:b/>
          <w:bCs/>
        </w:rPr>
        <w:t xml:space="preserve">Como exercer.</w:t>
      </w:r>
      <w:r>
        <w:t xml:space="preserve"> O direito de arrependimento pode ser exercido pela opção de cancelamento da Reserva, que funciona como função eletrônica de retratação (na União Europeia, nos termos da Diretiva (UE) 2023/2673, aplicável desde 19/06/2026), ou pelos canais de atendimento. Na Argentina, a Plataforma disponibiliza o "Botón de arrepentimiento" (Resolución SCI 424/2020).</w:t>
      </w:r>
    </w:p>
    <w:p>
      <w:pPr>
        <w:pStyle w:val="Heading2"/>
      </w:pPr>
      <w:r>
        <w:t xml:space="preserve">5. Políticas de cancelamento pelo Locatário</w:t>
      </w:r>
    </w:p>
    <w:p>
      <w:pPr>
        <w:spacing w:after="120"/>
        <w:jc w:val="both"/>
      </w:pPr>
      <w:r>
        <w:t xml:space="preserve">5.1. Fora da janela de cortesia e do prazo de arrependimento, cada Ocorrência futura é avaliada individualmente conforme a antecedência entre o cancelamento e o seu início:</w:t>
      </w:r>
    </w:p>
    <w:p>
      <w:pPr>
        <w:spacing w:after="120"/>
        <w:jc w:val="both"/>
      </w:pPr>
      <w:r>
        <w:rPr>
          <w:b/>
          <w:bCs/>
        </w:rPr>
        <w:t xml:space="preserve">Política Flexível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6F2F1" w:color="auto" w:val="clear"/>
            <w:tcMar>
              <w:top w:type="dxa" w:w="60"/>
              <w:left w:type="dxa" w:w="100"/>
              <w:bottom w:type="dxa" w:w="60"/>
              <w:right w:type="dxa" w:w="100"/>
            </w:tcMar>
          </w:tcPr>
          <w:p>
            <w:r>
              <w:rPr>
                <w:b/>
                <w:bCs/>
                <w:sz w:val="19"/>
                <w:szCs w:val="19"/>
              </w:rPr>
              <w:t xml:space="preserve">Antecedência até o início da Ocorrência</w:t>
            </w:r>
          </w:p>
        </w:tc>
        <w:tc>
          <w:tcPr>
            <w:tcW w:type="dxa" w:w="4819"/>
            <w:shd w:fill="E6F2F1" w:color="auto" w:val="clear"/>
            <w:tcMar>
              <w:top w:type="dxa" w:w="60"/>
              <w:left w:type="dxa" w:w="100"/>
              <w:bottom w:type="dxa" w:w="60"/>
              <w:right w:type="dxa" w:w="100"/>
            </w:tcMar>
          </w:tcPr>
          <w:p>
            <w:r>
              <w:rPr>
                <w:b/>
                <w:bCs/>
                <w:sz w:val="19"/>
                <w:szCs w:val="19"/>
              </w:rPr>
              <w:t xml:space="preserve">Reembolso do Valor Base</w:t>
            </w:r>
          </w:p>
        </w:tc>
      </w:tr>
      <w:tr>
        <w:trPr>
          <w:tblHeader w:val="off"/>
        </w:trPr>
        <w:tc>
          <w:tcPr>
            <w:tcW w:type="dxa" w:w="4819"/>
            <w:tcMar>
              <w:top w:type="dxa" w:w="60"/>
              <w:left w:type="dxa" w:w="100"/>
              <w:bottom w:type="dxa" w:w="60"/>
              <w:right w:type="dxa" w:w="100"/>
            </w:tcMar>
          </w:tcPr>
          <w:p>
            <w:r>
              <w:rPr>
                <w:sz w:val="19"/>
                <w:szCs w:val="19"/>
              </w:rPr>
              <w:t xml:space="preserve">24 horas ou mais</w:t>
            </w:r>
          </w:p>
        </w:tc>
        <w:tc>
          <w:tcPr>
            <w:tcW w:type="dxa" w:w="4819"/>
            <w:tcMar>
              <w:top w:type="dxa" w:w="60"/>
              <w:left w:type="dxa" w:w="100"/>
              <w:bottom w:type="dxa" w:w="60"/>
              <w:right w:type="dxa" w:w="100"/>
            </w:tcMar>
          </w:tcPr>
          <w:p>
            <w:r>
              <w:rPr>
                <w:sz w:val="19"/>
                <w:szCs w:val="19"/>
              </w:rPr>
              <w:t xml:space="preserve">100%</w:t>
            </w:r>
          </w:p>
        </w:tc>
      </w:tr>
      <w:tr>
        <w:trPr>
          <w:tblHeader w:val="off"/>
        </w:trPr>
        <w:tc>
          <w:tcPr>
            <w:tcW w:type="dxa" w:w="4819"/>
            <w:tcMar>
              <w:top w:type="dxa" w:w="60"/>
              <w:left w:type="dxa" w:w="100"/>
              <w:bottom w:type="dxa" w:w="60"/>
              <w:right w:type="dxa" w:w="100"/>
            </w:tcMar>
          </w:tcPr>
          <w:p>
            <w:r>
              <w:rPr>
                <w:sz w:val="19"/>
                <w:szCs w:val="19"/>
              </w:rPr>
              <w:t xml:space="preserve">Menos de 24 horas</w:t>
            </w:r>
          </w:p>
        </w:tc>
        <w:tc>
          <w:tcPr>
            <w:tcW w:type="dxa" w:w="4819"/>
            <w:tcMar>
              <w:top w:type="dxa" w:w="60"/>
              <w:left w:type="dxa" w:w="100"/>
              <w:bottom w:type="dxa" w:w="60"/>
              <w:right w:type="dxa" w:w="100"/>
            </w:tcMar>
          </w:tcPr>
          <w:p>
            <w:r>
              <w:rPr>
                <w:sz w:val="19"/>
                <w:szCs w:val="19"/>
              </w:rPr>
              <w:t xml:space="preserve">50%</w:t>
            </w:r>
          </w:p>
        </w:tc>
      </w:tr>
    </w:tbl>
    <w:p/>
    <w:p>
      <w:pPr>
        <w:spacing w:after="120"/>
        <w:jc w:val="both"/>
      </w:pPr>
      <w:r>
        <w:rPr>
          <w:b/>
          <w:bCs/>
        </w:rPr>
        <w:t xml:space="preserve">Política Moderada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6F2F1" w:color="auto" w:val="clear"/>
            <w:tcMar>
              <w:top w:type="dxa" w:w="60"/>
              <w:left w:type="dxa" w:w="100"/>
              <w:bottom w:type="dxa" w:w="60"/>
              <w:right w:type="dxa" w:w="100"/>
            </w:tcMar>
          </w:tcPr>
          <w:p>
            <w:r>
              <w:rPr>
                <w:b/>
                <w:bCs/>
                <w:sz w:val="19"/>
                <w:szCs w:val="19"/>
              </w:rPr>
              <w:t xml:space="preserve">Antecedência até o início da Ocorrência</w:t>
            </w:r>
          </w:p>
        </w:tc>
        <w:tc>
          <w:tcPr>
            <w:tcW w:type="dxa" w:w="4819"/>
            <w:shd w:fill="E6F2F1" w:color="auto" w:val="clear"/>
            <w:tcMar>
              <w:top w:type="dxa" w:w="60"/>
              <w:left w:type="dxa" w:w="100"/>
              <w:bottom w:type="dxa" w:w="60"/>
              <w:right w:type="dxa" w:w="100"/>
            </w:tcMar>
          </w:tcPr>
          <w:p>
            <w:r>
              <w:rPr>
                <w:b/>
                <w:bCs/>
                <w:sz w:val="19"/>
                <w:szCs w:val="19"/>
              </w:rPr>
              <w:t xml:space="preserve">Reembolso do Valor Base</w:t>
            </w:r>
          </w:p>
        </w:tc>
      </w:tr>
      <w:tr>
        <w:trPr>
          <w:tblHeader w:val="off"/>
        </w:trPr>
        <w:tc>
          <w:tcPr>
            <w:tcW w:type="dxa" w:w="4819"/>
            <w:tcMar>
              <w:top w:type="dxa" w:w="60"/>
              <w:left w:type="dxa" w:w="100"/>
              <w:bottom w:type="dxa" w:w="60"/>
              <w:right w:type="dxa" w:w="100"/>
            </w:tcMar>
          </w:tcPr>
          <w:p>
            <w:r>
              <w:rPr>
                <w:sz w:val="19"/>
                <w:szCs w:val="19"/>
              </w:rPr>
              <w:t xml:space="preserve">72 horas ou mais</w:t>
            </w:r>
          </w:p>
        </w:tc>
        <w:tc>
          <w:tcPr>
            <w:tcW w:type="dxa" w:w="4819"/>
            <w:tcMar>
              <w:top w:type="dxa" w:w="60"/>
              <w:left w:type="dxa" w:w="100"/>
              <w:bottom w:type="dxa" w:w="60"/>
              <w:right w:type="dxa" w:w="100"/>
            </w:tcMar>
          </w:tcPr>
          <w:p>
            <w:r>
              <w:rPr>
                <w:sz w:val="19"/>
                <w:szCs w:val="19"/>
              </w:rPr>
              <w:t xml:space="preserve">100%</w:t>
            </w:r>
          </w:p>
        </w:tc>
      </w:tr>
      <w:tr>
        <w:trPr>
          <w:tblHeader w:val="off"/>
        </w:trPr>
        <w:tc>
          <w:tcPr>
            <w:tcW w:type="dxa" w:w="4819"/>
            <w:tcMar>
              <w:top w:type="dxa" w:w="60"/>
              <w:left w:type="dxa" w:w="100"/>
              <w:bottom w:type="dxa" w:w="60"/>
              <w:right w:type="dxa" w:w="100"/>
            </w:tcMar>
          </w:tcPr>
          <w:p>
            <w:r>
              <w:rPr>
                <w:sz w:val="19"/>
                <w:szCs w:val="19"/>
              </w:rPr>
              <w:t xml:space="preserve">De 24 horas a menos de 72 horas</w:t>
            </w:r>
          </w:p>
        </w:tc>
        <w:tc>
          <w:tcPr>
            <w:tcW w:type="dxa" w:w="4819"/>
            <w:tcMar>
              <w:top w:type="dxa" w:w="60"/>
              <w:left w:type="dxa" w:w="100"/>
              <w:bottom w:type="dxa" w:w="60"/>
              <w:right w:type="dxa" w:w="100"/>
            </w:tcMar>
          </w:tcPr>
          <w:p>
            <w:r>
              <w:rPr>
                <w:sz w:val="19"/>
                <w:szCs w:val="19"/>
              </w:rPr>
              <w:t xml:space="preserve">50%</w:t>
            </w:r>
          </w:p>
        </w:tc>
      </w:tr>
      <w:tr>
        <w:trPr>
          <w:tblHeader w:val="off"/>
        </w:trPr>
        <w:tc>
          <w:tcPr>
            <w:tcW w:type="dxa" w:w="4819"/>
            <w:tcMar>
              <w:top w:type="dxa" w:w="60"/>
              <w:left w:type="dxa" w:w="100"/>
              <w:bottom w:type="dxa" w:w="60"/>
              <w:right w:type="dxa" w:w="100"/>
            </w:tcMar>
          </w:tcPr>
          <w:p>
            <w:r>
              <w:rPr>
                <w:sz w:val="19"/>
                <w:szCs w:val="19"/>
              </w:rPr>
              <w:t xml:space="preserve">Menos de 24 horas</w:t>
            </w:r>
          </w:p>
        </w:tc>
        <w:tc>
          <w:tcPr>
            <w:tcW w:type="dxa" w:w="4819"/>
            <w:tcMar>
              <w:top w:type="dxa" w:w="60"/>
              <w:left w:type="dxa" w:w="100"/>
              <w:bottom w:type="dxa" w:w="60"/>
              <w:right w:type="dxa" w:w="100"/>
            </w:tcMar>
          </w:tcPr>
          <w:p>
            <w:r>
              <w:rPr>
                <w:sz w:val="19"/>
                <w:szCs w:val="19"/>
              </w:rPr>
              <w:t xml:space="preserve">0%</w:t>
            </w:r>
          </w:p>
        </w:tc>
      </w:tr>
    </w:tbl>
    <w:p/>
    <w:p>
      <w:pPr>
        <w:spacing w:after="120"/>
        <w:jc w:val="both"/>
      </w:pPr>
      <w:r>
        <w:rPr>
          <w:b/>
          <w:bCs/>
        </w:rPr>
        <w:t xml:space="preserve">Política Rígida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6F2F1" w:color="auto" w:val="clear"/>
            <w:tcMar>
              <w:top w:type="dxa" w:w="60"/>
              <w:left w:type="dxa" w:w="100"/>
              <w:bottom w:type="dxa" w:w="60"/>
              <w:right w:type="dxa" w:w="100"/>
            </w:tcMar>
          </w:tcPr>
          <w:p>
            <w:r>
              <w:rPr>
                <w:b/>
                <w:bCs/>
                <w:sz w:val="19"/>
                <w:szCs w:val="19"/>
              </w:rPr>
              <w:t xml:space="preserve">Antecedência até o início da Ocorrência</w:t>
            </w:r>
          </w:p>
        </w:tc>
        <w:tc>
          <w:tcPr>
            <w:tcW w:type="dxa" w:w="4819"/>
            <w:shd w:fill="E6F2F1" w:color="auto" w:val="clear"/>
            <w:tcMar>
              <w:top w:type="dxa" w:w="60"/>
              <w:left w:type="dxa" w:w="100"/>
              <w:bottom w:type="dxa" w:w="60"/>
              <w:right w:type="dxa" w:w="100"/>
            </w:tcMar>
          </w:tcPr>
          <w:p>
            <w:r>
              <w:rPr>
                <w:b/>
                <w:bCs/>
                <w:sz w:val="19"/>
                <w:szCs w:val="19"/>
              </w:rPr>
              <w:t xml:space="preserve">Reembolso do Valor Base</w:t>
            </w:r>
          </w:p>
        </w:tc>
      </w:tr>
      <w:tr>
        <w:trPr>
          <w:tblHeader w:val="off"/>
        </w:trPr>
        <w:tc>
          <w:tcPr>
            <w:tcW w:type="dxa" w:w="4819"/>
            <w:tcMar>
              <w:top w:type="dxa" w:w="60"/>
              <w:left w:type="dxa" w:w="100"/>
              <w:bottom w:type="dxa" w:w="60"/>
              <w:right w:type="dxa" w:w="100"/>
            </w:tcMar>
          </w:tcPr>
          <w:p>
            <w:r>
              <w:rPr>
                <w:sz w:val="19"/>
                <w:szCs w:val="19"/>
              </w:rPr>
              <w:t xml:space="preserve">168 horas (7 dias) ou mais</w:t>
            </w:r>
          </w:p>
        </w:tc>
        <w:tc>
          <w:tcPr>
            <w:tcW w:type="dxa" w:w="4819"/>
            <w:tcMar>
              <w:top w:type="dxa" w:w="60"/>
              <w:left w:type="dxa" w:w="100"/>
              <w:bottom w:type="dxa" w:w="60"/>
              <w:right w:type="dxa" w:w="100"/>
            </w:tcMar>
          </w:tcPr>
          <w:p>
            <w:r>
              <w:rPr>
                <w:sz w:val="19"/>
                <w:szCs w:val="19"/>
              </w:rPr>
              <w:t xml:space="preserve">100%</w:t>
            </w:r>
          </w:p>
        </w:tc>
      </w:tr>
      <w:tr>
        <w:trPr>
          <w:tblHeader w:val="off"/>
        </w:trPr>
        <w:tc>
          <w:tcPr>
            <w:tcW w:type="dxa" w:w="4819"/>
            <w:tcMar>
              <w:top w:type="dxa" w:w="60"/>
              <w:left w:type="dxa" w:w="100"/>
              <w:bottom w:type="dxa" w:w="60"/>
              <w:right w:type="dxa" w:w="100"/>
            </w:tcMar>
          </w:tcPr>
          <w:p>
            <w:r>
              <w:rPr>
                <w:sz w:val="19"/>
                <w:szCs w:val="19"/>
              </w:rPr>
              <w:t xml:space="preserve">De 72 horas a menos de 168 horas</w:t>
            </w:r>
          </w:p>
        </w:tc>
        <w:tc>
          <w:tcPr>
            <w:tcW w:type="dxa" w:w="4819"/>
            <w:tcMar>
              <w:top w:type="dxa" w:w="60"/>
              <w:left w:type="dxa" w:w="100"/>
              <w:bottom w:type="dxa" w:w="60"/>
              <w:right w:type="dxa" w:w="100"/>
            </w:tcMar>
          </w:tcPr>
          <w:p>
            <w:r>
              <w:rPr>
                <w:sz w:val="19"/>
                <w:szCs w:val="19"/>
              </w:rPr>
              <w:t xml:space="preserve">50%</w:t>
            </w:r>
          </w:p>
        </w:tc>
      </w:tr>
      <w:tr>
        <w:trPr>
          <w:tblHeader w:val="off"/>
        </w:trPr>
        <w:tc>
          <w:tcPr>
            <w:tcW w:type="dxa" w:w="4819"/>
            <w:tcMar>
              <w:top w:type="dxa" w:w="60"/>
              <w:left w:type="dxa" w:w="100"/>
              <w:bottom w:type="dxa" w:w="60"/>
              <w:right w:type="dxa" w:w="100"/>
            </w:tcMar>
          </w:tcPr>
          <w:p>
            <w:r>
              <w:rPr>
                <w:sz w:val="19"/>
                <w:szCs w:val="19"/>
              </w:rPr>
              <w:t xml:space="preserve">Menos de 72 horas</w:t>
            </w:r>
          </w:p>
        </w:tc>
        <w:tc>
          <w:tcPr>
            <w:tcW w:type="dxa" w:w="4819"/>
            <w:tcMar>
              <w:top w:type="dxa" w:w="60"/>
              <w:left w:type="dxa" w:w="100"/>
              <w:bottom w:type="dxa" w:w="60"/>
              <w:right w:type="dxa" w:w="100"/>
            </w:tcMar>
          </w:tcPr>
          <w:p>
            <w:r>
              <w:rPr>
                <w:sz w:val="19"/>
                <w:szCs w:val="19"/>
              </w:rPr>
              <w:t xml:space="preserve">0%</w:t>
            </w:r>
          </w:p>
        </w:tc>
      </w:tr>
    </w:tbl>
    <w:p/>
    <w:p>
      <w:pPr>
        <w:spacing w:after="120"/>
        <w:jc w:val="both"/>
      </w:pPr>
      <w:r>
        <w:t xml:space="preserve">5.2. </w:t>
      </w:r>
      <w:r>
        <w:rPr>
          <w:b/>
          <w:bCs/>
        </w:rPr>
        <w:t xml:space="preserve">Reembolso por Ocorrência em séries.</w:t>
      </w:r>
      <w:r>
        <w:t xml:space="preserve"> Em Reservas com várias Ocorrências (dias consecutivos ou recorrência semanal), o Valor Base é dividido igualmente entre as Ocorrências e cada Ocorrência futura recebe o percentual correspondente à sua própria antecedência. Ocorrências já iniciadas ou realizadas não são reembolsadas.</w:t>
      </w:r>
    </w:p>
    <w:p>
      <w:pPr>
        <w:spacing w:after="120"/>
        <w:jc w:val="both"/>
      </w:pPr>
      <w:r>
        <w:t xml:space="preserve">5.3. </w:t>
      </w:r>
      <w:r>
        <w:rPr>
          <w:b/>
          <w:bCs/>
        </w:rPr>
        <w:t xml:space="preserve">Taxa de Limpeza.</w:t>
      </w:r>
      <w:r>
        <w:t xml:space="preserve"> A Taxa de Limpeza de toda Ocorrência cancelada que ainda não começou é </w:t>
      </w:r>
      <w:r>
        <w:rPr>
          <w:b/>
          <w:bCs/>
        </w:rPr>
        <w:t xml:space="preserve">sempre devolvida integralmente</w:t>
      </w:r>
      <w:r>
        <w:t xml:space="preserve">, independentemente da política, pois o serviço de limpeza não será realizado.</w:t>
      </w:r>
    </w:p>
    <w:p>
      <w:pPr>
        <w:spacing w:after="120"/>
        <w:jc w:val="both"/>
      </w:pPr>
      <w:r>
        <w:t xml:space="preserve">5.4. </w:t>
      </w:r>
      <w:r>
        <w:rPr>
          <w:b/>
          <w:bCs/>
        </w:rPr>
        <w:t xml:space="preserve">Taxa de Serviço e tributo.</w:t>
      </w:r>
      <w:r>
        <w:t xml:space="preserve"> A Taxa de Serviço do Locatário e o tributo sobre ela são devolvidos </w:t>
      </w:r>
      <w:r>
        <w:rPr>
          <w:b/>
          <w:bCs/>
        </w:rPr>
        <w:t xml:space="preserve">proporcionalmente ao número de Ocorrências que recebem reembolso integral (100%)</w:t>
      </w:r>
      <w:r>
        <w:t xml:space="preserve"> do Valor Base, em relação ao total de Ocorrências da Reserva. Ocorrências reembolsadas em 50% ou 0% não geram devolução da Taxa de Serviço correspondente.</w:t>
      </w:r>
    </w:p>
    <w:p>
      <w:pPr>
        <w:spacing w:after="120"/>
        <w:jc w:val="both"/>
      </w:pPr>
      <w:r>
        <w:t xml:space="preserve">5.5. </w:t>
      </w:r>
      <w:r>
        <w:rPr>
          <w:b/>
          <w:bCs/>
        </w:rPr>
        <w:t xml:space="preserve">Exemplo.</w:t>
      </w:r>
      <w:r>
        <w:t xml:space="preserve"> Série semanal de 4 Ocorrências, política Moderada, cancelada quando faltam 30 horas para a primeira. A primeira Ocorrência recebe 50% do Valor Base proporcional; as três seguintes (mais de 72 horas) recebem 100%. A Taxa de Limpeza das 4 Ocorrências é devolvida integralmente. A Taxa de Serviço e o tributo são devolvidos em 3/4.</w:t>
      </w:r>
    </w:p>
    <w:p>
      <w:pPr>
        <w:spacing w:after="120"/>
        <w:jc w:val="both"/>
      </w:pPr>
      <w:r>
        <w:t xml:space="preserve">5.6. </w:t>
      </w:r>
      <w:r>
        <w:rPr>
          <w:b/>
          <w:bCs/>
        </w:rPr>
        <w:t xml:space="preserve">Não comparecimento.</w:t>
      </w:r>
      <w:r>
        <w:t xml:space="preserve"> O não comparecimento sem cancelamento não gera reembolso do Valor Base nem da Taxa de Serviço da Ocorrência. A Taxa de Limpeza não utilizada é devolvida quando o Anfitrião confirmar que a limpeza não foi necessária.</w:t>
      </w:r>
    </w:p>
    <w:p>
      <w:pPr>
        <w:spacing w:after="120"/>
        <w:jc w:val="both"/>
      </w:pPr>
      <w:r>
        <w:t xml:space="preserve">5.7. </w:t>
      </w:r>
      <w:r>
        <w:rPr>
          <w:b/>
          <w:bCs/>
        </w:rPr>
        <w:t xml:space="preserve">Saída antecipada.</w:t>
      </w:r>
      <w:r>
        <w:t xml:space="preserve"> Encerrar a Ocorrência antes do horário previsto não gera reembolso das horas não utilizadas.</w:t>
      </w:r>
    </w:p>
    <w:p>
      <w:pPr>
        <w:pStyle w:val="Heading2"/>
      </w:pPr>
      <w:r>
        <w:t xml:space="preserve">6. Resumo de componentes reembolsáveis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shd w:fill="E6F2F1" w:color="auto" w:val="clear"/>
            <w:tcMar>
              <w:top w:type="dxa" w:w="60"/>
              <w:left w:type="dxa" w:w="100"/>
              <w:bottom w:type="dxa" w:w="60"/>
              <w:right w:type="dxa" w:w="100"/>
            </w:tcMar>
          </w:tcPr>
          <w:p>
            <w:r>
              <w:rPr>
                <w:b/>
                <w:bCs/>
                <w:sz w:val="19"/>
                <w:szCs w:val="19"/>
              </w:rPr>
              <w:t xml:space="preserve">Componente</w:t>
            </w:r>
          </w:p>
        </w:tc>
        <w:tc>
          <w:tcPr>
            <w:tcW w:type="dxa" w:w="1927"/>
            <w:shd w:fill="E6F2F1" w:color="auto" w:val="clear"/>
            <w:tcMar>
              <w:top w:type="dxa" w:w="60"/>
              <w:left w:type="dxa" w:w="100"/>
              <w:bottom w:type="dxa" w:w="60"/>
              <w:right w:type="dxa" w:w="100"/>
            </w:tcMar>
          </w:tcPr>
          <w:p>
            <w:r>
              <w:rPr>
                <w:b/>
                <w:bCs/>
                <w:sz w:val="19"/>
                <w:szCs w:val="19"/>
              </w:rPr>
              <w:t xml:space="preserve">Cortesia / Arrependimento</w:t>
            </w:r>
          </w:p>
        </w:tc>
        <w:tc>
          <w:tcPr>
            <w:tcW w:type="dxa" w:w="1927"/>
            <w:shd w:fill="E6F2F1" w:color="auto" w:val="clear"/>
            <w:tcMar>
              <w:top w:type="dxa" w:w="60"/>
              <w:left w:type="dxa" w:w="100"/>
              <w:bottom w:type="dxa" w:w="60"/>
              <w:right w:type="dxa" w:w="100"/>
            </w:tcMar>
          </w:tcPr>
          <w:p>
            <w:r>
              <w:rPr>
                <w:b/>
                <w:bCs/>
                <w:sz w:val="19"/>
                <w:szCs w:val="19"/>
              </w:rPr>
              <w:t xml:space="preserve">Política do Anúncio</w:t>
            </w:r>
          </w:p>
        </w:tc>
        <w:tc>
          <w:tcPr>
            <w:tcW w:type="dxa" w:w="1927"/>
            <w:shd w:fill="E6F2F1" w:color="auto" w:val="clear"/>
            <w:tcMar>
              <w:top w:type="dxa" w:w="60"/>
              <w:left w:type="dxa" w:w="100"/>
              <w:bottom w:type="dxa" w:w="60"/>
              <w:right w:type="dxa" w:w="100"/>
            </w:tcMar>
          </w:tcPr>
          <w:p>
            <w:r>
              <w:rPr>
                <w:b/>
                <w:bCs/>
                <w:sz w:val="19"/>
                <w:szCs w:val="19"/>
              </w:rPr>
              <w:t xml:space="preserve">Cancelamento pelo Anfitrião</w:t>
            </w:r>
          </w:p>
        </w:tc>
        <w:tc>
          <w:tcPr>
            <w:tcW w:type="dxa" w:w="1930"/>
            <w:shd w:fill="E6F2F1" w:color="auto" w:val="clear"/>
            <w:tcMar>
              <w:top w:type="dxa" w:w="60"/>
              <w:left w:type="dxa" w:w="100"/>
              <w:bottom w:type="dxa" w:w="60"/>
              <w:right w:type="dxa" w:w="100"/>
            </w:tcMar>
          </w:tcPr>
          <w:p>
            <w:r>
              <w:rPr>
                <w:b/>
                <w:bCs/>
                <w:sz w:val="19"/>
                <w:szCs w:val="19"/>
              </w:rPr>
              <w:t xml:space="preserve">Não comparecimento</w:t>
            </w:r>
          </w:p>
        </w:tc>
      </w:tr>
      <w:tr>
        <w:trPr>
          <w:tblHeader w:val="off"/>
        </w:trPr>
        <w:tc>
          <w:tcPr>
            <w:tcW w:type="dxa" w:w="1927"/>
            <w:tcMar>
              <w:top w:type="dxa" w:w="60"/>
              <w:left w:type="dxa" w:w="100"/>
              <w:bottom w:type="dxa" w:w="60"/>
              <w:right w:type="dxa" w:w="100"/>
            </w:tcMar>
          </w:tcPr>
          <w:p>
            <w:r>
              <w:rPr>
                <w:sz w:val="19"/>
                <w:szCs w:val="19"/>
              </w:rPr>
              <w:t xml:space="preserve">Valor Base</w:t>
            </w:r>
          </w:p>
        </w:tc>
        <w:tc>
          <w:tcPr>
            <w:tcW w:type="dxa" w:w="1927"/>
            <w:tcMar>
              <w:top w:type="dxa" w:w="60"/>
              <w:left w:type="dxa" w:w="100"/>
              <w:bottom w:type="dxa" w:w="60"/>
              <w:right w:type="dxa" w:w="100"/>
            </w:tcMar>
          </w:tcPr>
          <w:p>
            <w:r>
              <w:rPr>
                <w:sz w:val="19"/>
                <w:szCs w:val="19"/>
              </w:rPr>
              <w:t xml:space="preserve">100%</w:t>
            </w:r>
          </w:p>
        </w:tc>
        <w:tc>
          <w:tcPr>
            <w:tcW w:type="dxa" w:w="1927"/>
            <w:tcMar>
              <w:top w:type="dxa" w:w="60"/>
              <w:left w:type="dxa" w:w="100"/>
              <w:bottom w:type="dxa" w:w="60"/>
              <w:right w:type="dxa" w:w="100"/>
            </w:tcMar>
          </w:tcPr>
          <w:p>
            <w:r>
              <w:rPr>
                <w:sz w:val="19"/>
                <w:szCs w:val="19"/>
              </w:rPr>
              <w:t xml:space="preserve">Conforme faixa, por Ocorrência</w:t>
            </w:r>
          </w:p>
        </w:tc>
        <w:tc>
          <w:tcPr>
            <w:tcW w:type="dxa" w:w="1927"/>
            <w:tcMar>
              <w:top w:type="dxa" w:w="60"/>
              <w:left w:type="dxa" w:w="100"/>
              <w:bottom w:type="dxa" w:w="60"/>
              <w:right w:type="dxa" w:w="100"/>
            </w:tcMar>
          </w:tcPr>
          <w:p>
            <w:r>
              <w:rPr>
                <w:sz w:val="19"/>
                <w:szCs w:val="19"/>
              </w:rPr>
              <w:t xml:space="preserve">100%</w:t>
            </w:r>
          </w:p>
        </w:tc>
        <w:tc>
          <w:tcPr>
            <w:tcW w:type="dxa" w:w="1930"/>
            <w:tcMar>
              <w:top w:type="dxa" w:w="60"/>
              <w:left w:type="dxa" w:w="100"/>
              <w:bottom w:type="dxa" w:w="60"/>
              <w:right w:type="dxa" w:w="100"/>
            </w:tcMar>
          </w:tcPr>
          <w:p>
            <w:r>
              <w:rPr>
                <w:sz w:val="19"/>
                <w:szCs w:val="19"/>
              </w:rPr>
              <w:t xml:space="preserve">0%</w:t>
            </w:r>
          </w:p>
        </w:tc>
      </w:tr>
      <w:tr>
        <w:trPr>
          <w:tblHeader w:val="off"/>
        </w:trPr>
        <w:tc>
          <w:tcPr>
            <w:tcW w:type="dxa" w:w="1927"/>
            <w:tcMar>
              <w:top w:type="dxa" w:w="60"/>
              <w:left w:type="dxa" w:w="100"/>
              <w:bottom w:type="dxa" w:w="60"/>
              <w:right w:type="dxa" w:w="100"/>
            </w:tcMar>
          </w:tcPr>
          <w:p>
            <w:r>
              <w:rPr>
                <w:sz w:val="19"/>
                <w:szCs w:val="19"/>
              </w:rPr>
              <w:t xml:space="preserve">Taxa de Limpeza</w:t>
            </w:r>
          </w:p>
        </w:tc>
        <w:tc>
          <w:tcPr>
            <w:tcW w:type="dxa" w:w="1927"/>
            <w:tcMar>
              <w:top w:type="dxa" w:w="60"/>
              <w:left w:type="dxa" w:w="100"/>
              <w:bottom w:type="dxa" w:w="60"/>
              <w:right w:type="dxa" w:w="100"/>
            </w:tcMar>
          </w:tcPr>
          <w:p>
            <w:r>
              <w:rPr>
                <w:sz w:val="19"/>
                <w:szCs w:val="19"/>
              </w:rPr>
              <w:t xml:space="preserve">100%</w:t>
            </w:r>
          </w:p>
        </w:tc>
        <w:tc>
          <w:tcPr>
            <w:tcW w:type="dxa" w:w="1927"/>
            <w:tcMar>
              <w:top w:type="dxa" w:w="60"/>
              <w:left w:type="dxa" w:w="100"/>
              <w:bottom w:type="dxa" w:w="60"/>
              <w:right w:type="dxa" w:w="100"/>
            </w:tcMar>
          </w:tcPr>
          <w:p>
            <w:r>
              <w:rPr>
                <w:sz w:val="19"/>
                <w:szCs w:val="19"/>
              </w:rPr>
              <w:t xml:space="preserve">100% das Ocorrências não iniciadas</w:t>
            </w:r>
          </w:p>
        </w:tc>
        <w:tc>
          <w:tcPr>
            <w:tcW w:type="dxa" w:w="1927"/>
            <w:tcMar>
              <w:top w:type="dxa" w:w="60"/>
              <w:left w:type="dxa" w:w="100"/>
              <w:bottom w:type="dxa" w:w="60"/>
              <w:right w:type="dxa" w:w="100"/>
            </w:tcMar>
          </w:tcPr>
          <w:p>
            <w:r>
              <w:rPr>
                <w:sz w:val="19"/>
                <w:szCs w:val="19"/>
              </w:rPr>
              <w:t xml:space="preserve">100%</w:t>
            </w:r>
          </w:p>
        </w:tc>
        <w:tc>
          <w:tcPr>
            <w:tcW w:type="dxa" w:w="1930"/>
            <w:tcMar>
              <w:top w:type="dxa" w:w="60"/>
              <w:left w:type="dxa" w:w="100"/>
              <w:bottom w:type="dxa" w:w="60"/>
              <w:right w:type="dxa" w:w="100"/>
            </w:tcMar>
          </w:tcPr>
          <w:p>
            <w:r>
              <w:rPr>
                <w:sz w:val="19"/>
                <w:szCs w:val="19"/>
              </w:rPr>
              <w:t xml:space="preserve">Devolvida se limpeza não foi necessária</w:t>
            </w:r>
          </w:p>
        </w:tc>
      </w:tr>
      <w:tr>
        <w:trPr>
          <w:tblHeader w:val="off"/>
        </w:trPr>
        <w:tc>
          <w:tcPr>
            <w:tcW w:type="dxa" w:w="1927"/>
            <w:tcMar>
              <w:top w:type="dxa" w:w="60"/>
              <w:left w:type="dxa" w:w="100"/>
              <w:bottom w:type="dxa" w:w="60"/>
              <w:right w:type="dxa" w:w="100"/>
            </w:tcMar>
          </w:tcPr>
          <w:p>
            <w:r>
              <w:rPr>
                <w:sz w:val="19"/>
                <w:szCs w:val="19"/>
              </w:rPr>
              <w:t xml:space="preserve">Taxa de Serviço do Locatário</w:t>
            </w:r>
          </w:p>
        </w:tc>
        <w:tc>
          <w:tcPr>
            <w:tcW w:type="dxa" w:w="1927"/>
            <w:tcMar>
              <w:top w:type="dxa" w:w="60"/>
              <w:left w:type="dxa" w:w="100"/>
              <w:bottom w:type="dxa" w:w="60"/>
              <w:right w:type="dxa" w:w="100"/>
            </w:tcMar>
          </w:tcPr>
          <w:p>
            <w:r>
              <w:rPr>
                <w:sz w:val="19"/>
                <w:szCs w:val="19"/>
              </w:rPr>
              <w:t xml:space="preserve">100%</w:t>
            </w:r>
          </w:p>
        </w:tc>
        <w:tc>
          <w:tcPr>
            <w:tcW w:type="dxa" w:w="1927"/>
            <w:tcMar>
              <w:top w:type="dxa" w:w="60"/>
              <w:left w:type="dxa" w:w="100"/>
              <w:bottom w:type="dxa" w:w="60"/>
              <w:right w:type="dxa" w:w="100"/>
            </w:tcMar>
          </w:tcPr>
          <w:p>
            <w:r>
              <w:rPr>
                <w:sz w:val="19"/>
                <w:szCs w:val="19"/>
              </w:rPr>
              <w:t xml:space="preserve">Proporcional às Ocorrências com 100%</w:t>
            </w:r>
          </w:p>
        </w:tc>
        <w:tc>
          <w:tcPr>
            <w:tcW w:type="dxa" w:w="1927"/>
            <w:tcMar>
              <w:top w:type="dxa" w:w="60"/>
              <w:left w:type="dxa" w:w="100"/>
              <w:bottom w:type="dxa" w:w="60"/>
              <w:right w:type="dxa" w:w="100"/>
            </w:tcMar>
          </w:tcPr>
          <w:p>
            <w:r>
              <w:rPr>
                <w:sz w:val="19"/>
                <w:szCs w:val="19"/>
              </w:rPr>
              <w:t xml:space="preserve">100%</w:t>
            </w:r>
          </w:p>
        </w:tc>
        <w:tc>
          <w:tcPr>
            <w:tcW w:type="dxa" w:w="1930"/>
            <w:tcMar>
              <w:top w:type="dxa" w:w="60"/>
              <w:left w:type="dxa" w:w="100"/>
              <w:bottom w:type="dxa" w:w="60"/>
              <w:right w:type="dxa" w:w="100"/>
            </w:tcMar>
          </w:tcPr>
          <w:p>
            <w:r>
              <w:rPr>
                <w:sz w:val="19"/>
                <w:szCs w:val="19"/>
              </w:rPr>
              <w:t xml:space="preserve">0%</w:t>
            </w:r>
          </w:p>
        </w:tc>
      </w:tr>
      <w:tr>
        <w:trPr>
          <w:tblHeader w:val="off"/>
        </w:trPr>
        <w:tc>
          <w:tcPr>
            <w:tcW w:type="dxa" w:w="1927"/>
            <w:tcMar>
              <w:top w:type="dxa" w:w="60"/>
              <w:left w:type="dxa" w:w="100"/>
              <w:bottom w:type="dxa" w:w="60"/>
              <w:right w:type="dxa" w:w="100"/>
            </w:tcMar>
          </w:tcPr>
          <w:p>
            <w:r>
              <w:rPr>
                <w:sz w:val="19"/>
                <w:szCs w:val="19"/>
              </w:rPr>
              <w:t xml:space="preserve">Tributo sobre a Taxa de Serviço</w:t>
            </w:r>
          </w:p>
        </w:tc>
        <w:tc>
          <w:tcPr>
            <w:tcW w:type="dxa" w:w="1927"/>
            <w:tcMar>
              <w:top w:type="dxa" w:w="60"/>
              <w:left w:type="dxa" w:w="100"/>
              <w:bottom w:type="dxa" w:w="60"/>
              <w:right w:type="dxa" w:w="100"/>
            </w:tcMar>
          </w:tcPr>
          <w:p>
            <w:r>
              <w:rPr>
                <w:sz w:val="19"/>
                <w:szCs w:val="19"/>
              </w:rPr>
              <w:t xml:space="preserve">100%</w:t>
            </w:r>
          </w:p>
        </w:tc>
        <w:tc>
          <w:tcPr>
            <w:tcW w:type="dxa" w:w="1927"/>
            <w:tcMar>
              <w:top w:type="dxa" w:w="60"/>
              <w:left w:type="dxa" w:w="100"/>
              <w:bottom w:type="dxa" w:w="60"/>
              <w:right w:type="dxa" w:w="100"/>
            </w:tcMar>
          </w:tcPr>
          <w:p>
            <w:r>
              <w:rPr>
                <w:sz w:val="19"/>
                <w:szCs w:val="19"/>
              </w:rPr>
              <w:t xml:space="preserve">Proporcional às Ocorrências com 100%</w:t>
            </w:r>
          </w:p>
        </w:tc>
        <w:tc>
          <w:tcPr>
            <w:tcW w:type="dxa" w:w="1927"/>
            <w:tcMar>
              <w:top w:type="dxa" w:w="60"/>
              <w:left w:type="dxa" w:w="100"/>
              <w:bottom w:type="dxa" w:w="60"/>
              <w:right w:type="dxa" w:w="100"/>
            </w:tcMar>
          </w:tcPr>
          <w:p>
            <w:r>
              <w:rPr>
                <w:sz w:val="19"/>
                <w:szCs w:val="19"/>
              </w:rPr>
              <w:t xml:space="preserve">100%</w:t>
            </w:r>
          </w:p>
        </w:tc>
        <w:tc>
          <w:tcPr>
            <w:tcW w:type="dxa" w:w="1930"/>
            <w:tcMar>
              <w:top w:type="dxa" w:w="60"/>
              <w:left w:type="dxa" w:w="100"/>
              <w:bottom w:type="dxa" w:w="60"/>
              <w:right w:type="dxa" w:w="100"/>
            </w:tcMar>
          </w:tcPr>
          <w:p>
            <w:r>
              <w:rPr>
                <w:sz w:val="19"/>
                <w:szCs w:val="19"/>
              </w:rPr>
              <w:t xml:space="preserve">0%</w:t>
            </w:r>
          </w:p>
        </w:tc>
      </w:tr>
    </w:tbl>
    <w:p/>
    <w:p>
      <w:pPr>
        <w:pStyle w:val="Heading2"/>
      </w:pPr>
      <w:r>
        <w:t xml:space="preserve">7. Cancelamento pelo Anfitrião</w:t>
      </w:r>
    </w:p>
    <w:p>
      <w:pPr>
        <w:spacing w:after="120"/>
        <w:jc w:val="both"/>
      </w:pPr>
      <w:r>
        <w:t xml:space="preserve">7.1. O Anfitrião deve honrar as Reservas confirmadas. Se cancelar, o Locatário recebe </w:t>
      </w:r>
      <w:r>
        <w:rPr>
          <w:b/>
          <w:bCs/>
        </w:rPr>
        <w:t xml:space="preserve">reembolso de 100%</w:t>
      </w:r>
      <w:r>
        <w:t xml:space="preserve"> de todos os valores pagos referentes às Ocorrências canceladas, e a Plataforma envidará esforços para indicar Espaços semelhantes.</w:t>
      </w:r>
    </w:p>
    <w:p>
      <w:pPr>
        <w:spacing w:after="120"/>
        <w:jc w:val="both"/>
      </w:pPr>
      <w:r>
        <w:t xml:space="preserve">7.2. Além disso, o Anfitrião fica sujeito a multa, calculada sobre o Valor Base das Ocorrências canceladas e descontada de repasses futuros ou cobrada pelo meio cadastrado, e a uma Advertência: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shd w:fill="E6F2F1" w:color="auto" w:val="clear"/>
            <w:tcMar>
              <w:top w:type="dxa" w:w="60"/>
              <w:left w:type="dxa" w:w="100"/>
              <w:bottom w:type="dxa" w:w="60"/>
              <w:right w:type="dxa" w:w="100"/>
            </w:tcMar>
          </w:tcPr>
          <w:p>
            <w:r>
              <w:rPr>
                <w:b/>
                <w:bCs/>
                <w:sz w:val="19"/>
                <w:szCs w:val="19"/>
              </w:rPr>
              <w:t xml:space="preserve">Antecedência até o início da Ocorrência</w:t>
            </w:r>
          </w:p>
        </w:tc>
        <w:tc>
          <w:tcPr>
            <w:tcW w:type="dxa" w:w="3212"/>
            <w:shd w:fill="E6F2F1" w:color="auto" w:val="clear"/>
            <w:tcMar>
              <w:top w:type="dxa" w:w="60"/>
              <w:left w:type="dxa" w:w="100"/>
              <w:bottom w:type="dxa" w:w="60"/>
              <w:right w:type="dxa" w:w="100"/>
            </w:tcMar>
          </w:tcPr>
          <w:p>
            <w:r>
              <w:rPr>
                <w:b/>
                <w:bCs/>
                <w:sz w:val="19"/>
                <w:szCs w:val="19"/>
              </w:rPr>
              <w:t xml:space="preserve">Multa ao Anfitrião</w:t>
            </w:r>
          </w:p>
        </w:tc>
        <w:tc>
          <w:tcPr>
            <w:tcW w:type="dxa" w:w="3214"/>
            <w:shd w:fill="E6F2F1" w:color="auto" w:val="clear"/>
            <w:tcMar>
              <w:top w:type="dxa" w:w="60"/>
              <w:left w:type="dxa" w:w="100"/>
              <w:bottom w:type="dxa" w:w="60"/>
              <w:right w:type="dxa" w:w="100"/>
            </w:tcMar>
          </w:tcPr>
          <w:p>
            <w:r>
              <w:rPr>
                <w:b/>
                <w:bCs/>
                <w:sz w:val="19"/>
                <w:szCs w:val="19"/>
              </w:rPr>
              <w:t xml:space="preserve">Advertência</w:t>
            </w:r>
          </w:p>
        </w:tc>
      </w:tr>
      <w:tr>
        <w:trPr>
          <w:tblHeader w:val="off"/>
        </w:trPr>
        <w:tc>
          <w:tcPr>
            <w:tcW w:type="dxa" w:w="3212"/>
            <w:tcMar>
              <w:top w:type="dxa" w:w="60"/>
              <w:left w:type="dxa" w:w="100"/>
              <w:bottom w:type="dxa" w:w="60"/>
              <w:right w:type="dxa" w:w="100"/>
            </w:tcMar>
          </w:tcPr>
          <w:p>
            <w:r>
              <w:rPr>
                <w:sz w:val="19"/>
                <w:szCs w:val="19"/>
              </w:rPr>
              <w:t xml:space="preserve">168 horas (7 dias) ou mais</w:t>
            </w:r>
          </w:p>
        </w:tc>
        <w:tc>
          <w:tcPr>
            <w:tcW w:type="dxa" w:w="3212"/>
            <w:tcMar>
              <w:top w:type="dxa" w:w="60"/>
              <w:left w:type="dxa" w:w="100"/>
              <w:bottom w:type="dxa" w:w="60"/>
              <w:right w:type="dxa" w:w="100"/>
            </w:tcMar>
          </w:tcPr>
          <w:p>
            <w:r>
              <w:rPr>
                <w:sz w:val="19"/>
                <w:szCs w:val="19"/>
              </w:rPr>
              <w:t xml:space="preserve">0%</w:t>
            </w:r>
          </w:p>
        </w:tc>
        <w:tc>
          <w:tcPr>
            <w:tcW w:type="dxa" w:w="3214"/>
            <w:tcMar>
              <w:top w:type="dxa" w:w="60"/>
              <w:left w:type="dxa" w:w="100"/>
              <w:bottom w:type="dxa" w:w="60"/>
              <w:right w:type="dxa" w:w="100"/>
            </w:tcMar>
          </w:tcPr>
          <w:p>
            <w:r>
              <w:rPr>
                <w:sz w:val="19"/>
                <w:szCs w:val="19"/>
              </w:rPr>
              <w:t xml:space="preserve">Sim</w:t>
            </w:r>
          </w:p>
        </w:tc>
      </w:tr>
      <w:tr>
        <w:trPr>
          <w:tblHeader w:val="off"/>
        </w:trPr>
        <w:tc>
          <w:tcPr>
            <w:tcW w:type="dxa" w:w="3212"/>
            <w:tcMar>
              <w:top w:type="dxa" w:w="60"/>
              <w:left w:type="dxa" w:w="100"/>
              <w:bottom w:type="dxa" w:w="60"/>
              <w:right w:type="dxa" w:w="100"/>
            </w:tcMar>
          </w:tcPr>
          <w:p>
            <w:r>
              <w:rPr>
                <w:sz w:val="19"/>
                <w:szCs w:val="19"/>
              </w:rPr>
              <w:t xml:space="preserve">De 48 horas a menos de 168 horas</w:t>
            </w:r>
          </w:p>
        </w:tc>
        <w:tc>
          <w:tcPr>
            <w:tcW w:type="dxa" w:w="3212"/>
            <w:tcMar>
              <w:top w:type="dxa" w:w="60"/>
              <w:left w:type="dxa" w:w="100"/>
              <w:bottom w:type="dxa" w:w="60"/>
              <w:right w:type="dxa" w:w="100"/>
            </w:tcMar>
          </w:tcPr>
          <w:p>
            <w:r>
              <w:rPr>
                <w:sz w:val="19"/>
                <w:szCs w:val="19"/>
              </w:rPr>
              <w:t xml:space="preserve">10%</w:t>
            </w:r>
          </w:p>
        </w:tc>
        <w:tc>
          <w:tcPr>
            <w:tcW w:type="dxa" w:w="3214"/>
            <w:tcMar>
              <w:top w:type="dxa" w:w="60"/>
              <w:left w:type="dxa" w:w="100"/>
              <w:bottom w:type="dxa" w:w="60"/>
              <w:right w:type="dxa" w:w="100"/>
            </w:tcMar>
          </w:tcPr>
          <w:p>
            <w:r>
              <w:rPr>
                <w:sz w:val="19"/>
                <w:szCs w:val="19"/>
              </w:rPr>
              <w:t xml:space="preserve">Sim</w:t>
            </w:r>
          </w:p>
        </w:tc>
      </w:tr>
      <w:tr>
        <w:trPr>
          <w:tblHeader w:val="off"/>
        </w:trPr>
        <w:tc>
          <w:tcPr>
            <w:tcW w:type="dxa" w:w="3212"/>
            <w:tcMar>
              <w:top w:type="dxa" w:w="60"/>
              <w:left w:type="dxa" w:w="100"/>
              <w:bottom w:type="dxa" w:w="60"/>
              <w:right w:type="dxa" w:w="100"/>
            </w:tcMar>
          </w:tcPr>
          <w:p>
            <w:r>
              <w:rPr>
                <w:sz w:val="19"/>
                <w:szCs w:val="19"/>
              </w:rPr>
              <w:t xml:space="preserve">Menos de 48 horas</w:t>
            </w:r>
          </w:p>
        </w:tc>
        <w:tc>
          <w:tcPr>
            <w:tcW w:type="dxa" w:w="3212"/>
            <w:tcMar>
              <w:top w:type="dxa" w:w="60"/>
              <w:left w:type="dxa" w:w="100"/>
              <w:bottom w:type="dxa" w:w="60"/>
              <w:right w:type="dxa" w:w="100"/>
            </w:tcMar>
          </w:tcPr>
          <w:p>
            <w:r>
              <w:rPr>
                <w:sz w:val="19"/>
                <w:szCs w:val="19"/>
              </w:rPr>
              <w:t xml:space="preserve">25%</w:t>
            </w:r>
          </w:p>
        </w:tc>
        <w:tc>
          <w:tcPr>
            <w:tcW w:type="dxa" w:w="3214"/>
            <w:tcMar>
              <w:top w:type="dxa" w:w="60"/>
              <w:left w:type="dxa" w:w="100"/>
              <w:bottom w:type="dxa" w:w="60"/>
              <w:right w:type="dxa" w:w="100"/>
            </w:tcMar>
          </w:tcPr>
          <w:p>
            <w:r>
              <w:rPr>
                <w:sz w:val="19"/>
                <w:szCs w:val="19"/>
              </w:rPr>
              <w:t xml:space="preserve">Sim</w:t>
            </w:r>
          </w:p>
        </w:tc>
      </w:tr>
    </w:tbl>
    <w:p/>
    <w:p>
      <w:pPr>
        <w:spacing w:after="120"/>
        <w:jc w:val="both"/>
      </w:pPr>
      <w:r>
        <w:t xml:space="preserve">7.3. </w:t>
      </w:r>
      <w:r>
        <w:rPr>
          <w:b/>
          <w:bCs/>
        </w:rPr>
        <w:t xml:space="preserve">3 cancelamentos pelo Anfitrião em 12 meses</w:t>
      </w:r>
      <w:r>
        <w:t xml:space="preserve"> levam à </w:t>
      </w:r>
      <w:r>
        <w:rPr>
          <w:b/>
          <w:bCs/>
        </w:rPr>
        <w:t xml:space="preserve">suspensão</w:t>
      </w:r>
      <w:r>
        <w:t xml:space="preserve"> da conta de Anfitrião, nos termos de Penalidades e Medidas. O Anfitrião também pode ter as datas canceladas bloqueadas no calendário e perder destaque nas buscas.</w:t>
      </w:r>
    </w:p>
    <w:p>
      <w:pPr>
        <w:spacing w:after="120"/>
        <w:jc w:val="both"/>
      </w:pPr>
      <w:r>
        <w:t xml:space="preserve">7.4. Não incidem multa nem Advertência quando o cancelamento decorrer de circunstância atenuante comprovada (cláusula 8), de violação grave do Locatário devidamente reportada ou de </w:t>
      </w:r>
      <w:r>
        <w:rPr>
          <w:b/>
          <w:bCs/>
        </w:rPr>
        <w:t xml:space="preserve">dúvida fundada sobre a habilitação profissional válida e ativa do Locatário</w:t>
      </w:r>
      <w:r>
        <w:t xml:space="preserve"> para Espaço regulado (Regras de Reserva e Uso, cláusula 8.5), registrada pela Plataforma com o respectivo motivo. Na hipótese de dúvida sobre a habilitação, o Locatário recebe o reembolso integral previsto na cláusula 7.1, sem prejuízo das penalidades cabíveis se for apurada informação falsa.</w:t>
      </w:r>
    </w:p>
    <w:p>
      <w:pPr>
        <w:pStyle w:val="Heading2"/>
      </w:pPr>
      <w:r>
        <w:t xml:space="preserve">8. Circunstâncias atenuantes e força maior</w:t>
      </w:r>
    </w:p>
    <w:p>
      <w:pPr>
        <w:spacing w:after="120"/>
        <w:jc w:val="both"/>
      </w:pPr>
      <w:r>
        <w:t xml:space="preserve">8.1. Consideram-se circunstâncias atenuantes eventos imprevisíveis ou inevitáveis, posteriores à Reserva, que impeçam a sua realização, tais como: desastres naturais; interdição do imóvel ou do edifício por autoridade; falta prolongada de energia ou água no Espaço; epidemias com restrições oficiais; morte ou doença grave súbita do Locatário, do Anfitrião ou de familiar próximo; convocação judicial, eleitoral ou militar; e dano grave ao Espaço que o torne inutilizável.</w:t>
      </w:r>
    </w:p>
    <w:p>
      <w:pPr>
        <w:spacing w:after="120"/>
        <w:jc w:val="both"/>
      </w:pPr>
      <w:r>
        <w:t xml:space="preserve">8.2. Comprovada a circunstância com documentos idôneos (atestado, ato da autoridade, boletim, laudo), apresentados pela Central de Resolução em até 14 dias do cancelamento, o Locatário recebe </w:t>
      </w:r>
      <w:r>
        <w:rPr>
          <w:b/>
          <w:bCs/>
        </w:rPr>
        <w:t xml:space="preserve">reembolso integral</w:t>
      </w:r>
      <w:r>
        <w:t xml:space="preserve"> das Ocorrências afetadas e o Anfitrião não sofre multa nem Advertência.</w:t>
      </w:r>
    </w:p>
    <w:p>
      <w:pPr>
        <w:spacing w:after="120"/>
        <w:jc w:val="both"/>
      </w:pPr>
      <w:r>
        <w:t xml:space="preserve">8.3. Não são circunstâncias atenuantes: mudança de agenda, falta de Clientes Finais, condições climáticas comuns, problemas de transporte previsíveis ou obrigações conhecidas no momento da Reserva.</w:t>
      </w:r>
    </w:p>
    <w:p>
      <w:pPr>
        <w:pStyle w:val="Heading2"/>
      </w:pPr>
      <w:r>
        <w:t xml:space="preserve">9. Prazos e forma de reembolso</w:t>
      </w:r>
    </w:p>
    <w:p>
      <w:pPr>
        <w:spacing w:after="120"/>
        <w:jc w:val="both"/>
      </w:pPr>
      <w:r>
        <w:t xml:space="preserve">9.1. Os reembolsos são processados pela Plataforma imediatamente após a decisão e devolvidos pelo mesmo meio de pagamento, quando possível: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6F2F1" w:color="auto" w:val="clear"/>
            <w:tcMar>
              <w:top w:type="dxa" w:w="60"/>
              <w:left w:type="dxa" w:w="100"/>
              <w:bottom w:type="dxa" w:w="60"/>
              <w:right w:type="dxa" w:w="100"/>
            </w:tcMar>
          </w:tcPr>
          <w:p>
            <w:r>
              <w:rPr>
                <w:b/>
                <w:bCs/>
                <w:sz w:val="19"/>
                <w:szCs w:val="19"/>
              </w:rPr>
              <w:t xml:space="preserve">Meio de pagamento</w:t>
            </w:r>
          </w:p>
        </w:tc>
        <w:tc>
          <w:tcPr>
            <w:tcW w:type="dxa" w:w="4819"/>
            <w:shd w:fill="E6F2F1" w:color="auto" w:val="clear"/>
            <w:tcMar>
              <w:top w:type="dxa" w:w="60"/>
              <w:left w:type="dxa" w:w="100"/>
              <w:bottom w:type="dxa" w:w="60"/>
              <w:right w:type="dxa" w:w="100"/>
            </w:tcMar>
          </w:tcPr>
          <w:p>
            <w:r>
              <w:rPr>
                <w:b/>
                <w:bCs/>
                <w:sz w:val="19"/>
                <w:szCs w:val="19"/>
              </w:rPr>
              <w:t xml:space="preserve">Prazo estimado</w:t>
            </w:r>
          </w:p>
        </w:tc>
      </w:tr>
      <w:tr>
        <w:trPr>
          <w:tblHeader w:val="off"/>
        </w:trPr>
        <w:tc>
          <w:tcPr>
            <w:tcW w:type="dxa" w:w="4819"/>
            <w:tcMar>
              <w:top w:type="dxa" w:w="60"/>
              <w:left w:type="dxa" w:w="100"/>
              <w:bottom w:type="dxa" w:w="60"/>
              <w:right w:type="dxa" w:w="100"/>
            </w:tcMar>
          </w:tcPr>
          <w:p>
            <w:r>
              <w:rPr>
                <w:sz w:val="19"/>
                <w:szCs w:val="19"/>
              </w:rPr>
              <w:t xml:space="preserve">Cartão de crédito ou débito, carteiras digitais (Apple Pay, Google Pay, PayPal, Alipay, WeChat Pay etc.)</w:t>
            </w:r>
          </w:p>
        </w:tc>
        <w:tc>
          <w:tcPr>
            <w:tcW w:type="dxa" w:w="4819"/>
            <w:tcMar>
              <w:top w:type="dxa" w:w="60"/>
              <w:left w:type="dxa" w:w="100"/>
              <w:bottom w:type="dxa" w:w="60"/>
              <w:right w:type="dxa" w:w="100"/>
            </w:tcMar>
          </w:tcPr>
          <w:p>
            <w:r>
              <w:rPr>
                <w:sz w:val="19"/>
                <w:szCs w:val="19"/>
              </w:rPr>
              <w:t xml:space="preserve">5 a 10 dias úteis, conforme o emissor; pode aparecer na fatura seguinte</w:t>
            </w:r>
          </w:p>
        </w:tc>
      </w:tr>
      <w:tr>
        <w:trPr>
          <w:tblHeader w:val="off"/>
        </w:trPr>
        <w:tc>
          <w:tcPr>
            <w:tcW w:type="dxa" w:w="4819"/>
            <w:tcMar>
              <w:top w:type="dxa" w:w="60"/>
              <w:left w:type="dxa" w:w="100"/>
              <w:bottom w:type="dxa" w:w="60"/>
              <w:right w:type="dxa" w:w="100"/>
            </w:tcMar>
          </w:tcPr>
          <w:p>
            <w:r>
              <w:rPr>
                <w:sz w:val="19"/>
                <w:szCs w:val="19"/>
              </w:rPr>
              <w:t xml:space="preserve">Pix, transferência bancária, SPEI, SEPA, ACH, Interac, UPI, PayID e similares</w:t>
            </w:r>
          </w:p>
        </w:tc>
        <w:tc>
          <w:tcPr>
            <w:tcW w:type="dxa" w:w="4819"/>
            <w:tcMar>
              <w:top w:type="dxa" w:w="60"/>
              <w:left w:type="dxa" w:w="100"/>
              <w:bottom w:type="dxa" w:w="60"/>
              <w:right w:type="dxa" w:w="100"/>
            </w:tcMar>
          </w:tcPr>
          <w:p>
            <w:r>
              <w:rPr>
                <w:sz w:val="19"/>
                <w:szCs w:val="19"/>
              </w:rPr>
              <w:t xml:space="preserve">Até 5 dias úteis</w:t>
            </w:r>
          </w:p>
        </w:tc>
      </w:tr>
      <w:tr>
        <w:trPr>
          <w:tblHeader w:val="off"/>
        </w:trPr>
        <w:tc>
          <w:tcPr>
            <w:tcW w:type="dxa" w:w="4819"/>
            <w:tcMar>
              <w:top w:type="dxa" w:w="60"/>
              <w:left w:type="dxa" w:w="100"/>
              <w:bottom w:type="dxa" w:w="60"/>
              <w:right w:type="dxa" w:w="100"/>
            </w:tcMar>
          </w:tcPr>
          <w:p>
            <w:r>
              <w:rPr>
                <w:sz w:val="19"/>
                <w:szCs w:val="19"/>
              </w:rPr>
              <w:t xml:space="preserve">Boleto, OXXO, konbini, Multibanco e outros meios sem conta de origem identificável</w:t>
            </w:r>
          </w:p>
        </w:tc>
        <w:tc>
          <w:tcPr>
            <w:tcW w:type="dxa" w:w="4819"/>
            <w:tcMar>
              <w:top w:type="dxa" w:w="60"/>
              <w:left w:type="dxa" w:w="100"/>
              <w:bottom w:type="dxa" w:w="60"/>
              <w:right w:type="dxa" w:w="100"/>
            </w:tcMar>
          </w:tcPr>
          <w:p>
            <w:r>
              <w:rPr>
                <w:sz w:val="19"/>
                <w:szCs w:val="19"/>
              </w:rPr>
              <w:t xml:space="preserve">Transferência para a conta bancária indicada pelo Locatário, em até 5 dias úteis após a indicação</w:t>
            </w:r>
          </w:p>
        </w:tc>
      </w:tr>
      <w:tr>
        <w:trPr>
          <w:tblHeader w:val="off"/>
        </w:trPr>
        <w:tc>
          <w:tcPr>
            <w:tcW w:type="dxa" w:w="4819"/>
            <w:tcMar>
              <w:top w:type="dxa" w:w="60"/>
              <w:left w:type="dxa" w:w="100"/>
              <w:bottom w:type="dxa" w:w="60"/>
              <w:right w:type="dxa" w:w="100"/>
            </w:tcMar>
          </w:tcPr>
          <w:p>
            <w:r>
              <w:rPr>
                <w:sz w:val="19"/>
                <w:szCs w:val="19"/>
              </w:rPr>
              <w:t xml:space="preserve">Autorização ainda não capturada (Reserva por solicitação ou Caução)</w:t>
            </w:r>
          </w:p>
        </w:tc>
        <w:tc>
          <w:tcPr>
            <w:tcW w:type="dxa" w:w="4819"/>
            <w:tcMar>
              <w:top w:type="dxa" w:w="60"/>
              <w:left w:type="dxa" w:w="100"/>
              <w:bottom w:type="dxa" w:w="60"/>
              <w:right w:type="dxa" w:w="100"/>
            </w:tcMar>
          </w:tcPr>
          <w:p>
            <w:r>
              <w:rPr>
                <w:sz w:val="19"/>
                <w:szCs w:val="19"/>
              </w:rPr>
              <w:t xml:space="preserve">Liberação imediata pela Plataforma; o prazo de desbloqueio depende do emissor</w:t>
            </w:r>
          </w:p>
        </w:tc>
      </w:tr>
    </w:tbl>
    <w:p/>
    <w:p>
      <w:pPr>
        <w:spacing w:after="120"/>
        <w:jc w:val="both"/>
      </w:pPr>
      <w:r>
        <w:t xml:space="preserve">9.2. Estornos em moeda estrangeira podem sofrer variação cambial aplicada pelo emissor, sobre a qual a Operadora não tem controle.</w:t>
      </w:r>
    </w:p>
    <w:p>
      <w:pPr>
        <w:spacing w:after="120"/>
        <w:jc w:val="both"/>
      </w:pPr>
      <w:r>
        <w:t xml:space="preserve">9.3. </w:t>
      </w:r>
      <w:r>
        <w:rPr>
          <w:b/>
          <w:bCs/>
        </w:rPr>
        <w:t xml:space="preserve">Crédito opcional.</w:t>
      </w:r>
      <w:r>
        <w:t xml:space="preserve"> O Locatário pode optar, em vez do reembolso, por receber crédito na Plataforma no mesmo valor, utilizável em até 12 meses. O crédito nunca é imposto; a opção pelo reembolso em dinheiro é sempre garantida.</w:t>
      </w:r>
    </w:p>
    <w:p>
      <w:pPr>
        <w:pStyle w:val="Heading2"/>
      </w:pPr>
      <w:r>
        <w:t xml:space="preserve">10. Disposições finais</w:t>
      </w:r>
    </w:p>
    <w:p>
      <w:pPr>
        <w:spacing w:after="120"/>
        <w:jc w:val="both"/>
      </w:pPr>
      <w:r>
        <w:t xml:space="preserve">10.1. Valores devidos pelo Locatário em razão de Incidentes (Penalidades e Medidas) podem ser compensados com reembolsos pendentes, mediante informação detalhada.</w:t>
      </w:r>
    </w:p>
    <w:p>
      <w:pPr>
        <w:spacing w:after="120"/>
        <w:jc w:val="both"/>
      </w:pPr>
      <w:r>
        <w:t xml:space="preserve">10.2. Dúvidas ou divergências sobre o cálculo do reembolso podem ser apresentadas pela Central de Resolução e Disputas.</w:t>
      </w:r>
    </w:p>
    <w:p>
      <w:r>
        <w:br w:type="page"/>
      </w:r>
    </w:p>
    <w:p>
      <w:pPr>
        <w:pStyle w:val="Heading1"/>
      </w:pPr>
      <w:r>
        <w:t xml:space="preserve">Avalista e Caução</w:t>
      </w:r>
    </w:p>
    <w:p>
      <w:pPr>
        <w:spacing w:after="120"/>
        <w:jc w:val="both"/>
      </w:pPr>
      <w:r>
        <w:t xml:space="preserve">Versão 2026-09-27 · Vigência a partir de 27/09/2026</w:t>
      </w:r>
    </w:p>
    <w:p>
      <w:pPr>
        <w:pStyle w:val="Heading2"/>
      </w:pPr>
      <w:r>
        <w:t xml:space="preserve">1. Objeto</w:t>
      </w:r>
    </w:p>
    <w:p>
      <w:pPr>
        <w:spacing w:after="120"/>
        <w:jc w:val="both"/>
      </w:pPr>
      <w:r>
        <w:t xml:space="preserve">1.1. Este documento integra os Termos de Uso e disciplina as duas garantias que podem acompanhar uma Reserva: a </w:t>
      </w:r>
      <w:r>
        <w:rPr>
          <w:b/>
          <w:bCs/>
        </w:rPr>
        <w:t xml:space="preserve">Caução</w:t>
      </w:r>
      <w:r>
        <w:t xml:space="preserve"> (pré-autorização no meio de pagamento do Locatário) e o </w:t>
      </w:r>
      <w:r>
        <w:rPr>
          <w:b/>
          <w:bCs/>
        </w:rPr>
        <w:t xml:space="preserve">Avalista</w:t>
      </w:r>
      <w:r>
        <w:t xml:space="preserve"> (pessoa que garante as obrigações financeiras do Locatário).</w:t>
      </w:r>
    </w:p>
    <w:p>
      <w:pPr>
        <w:spacing w:after="120"/>
        <w:jc w:val="both"/>
      </w:pPr>
      <w:r>
        <w:t xml:space="preserve">1.2. As garantias destinam-se exclusivamente a cobrir valores devidos pelo Locatário em razão da Reserva: danos, limpeza extra, atraso na saída, multas de condomínio e penalidades decididas conforme Penalidades e Medidas, bem como saldo não pago do preço.</w:t>
      </w:r>
    </w:p>
    <w:p>
      <w:pPr>
        <w:pStyle w:val="Heading2"/>
      </w:pPr>
      <w:r>
        <w:t xml:space="preserve">2. Caução</w:t>
      </w:r>
    </w:p>
    <w:p>
      <w:pPr>
        <w:spacing w:after="120"/>
        <w:jc w:val="both"/>
      </w:pPr>
      <w:r>
        <w:t xml:space="preserve">2.1. </w:t>
      </w:r>
      <w:r>
        <w:rPr>
          <w:b/>
          <w:bCs/>
        </w:rPr>
        <w:t xml:space="preserve">Definição.</w:t>
      </w:r>
      <w:r>
        <w:t xml:space="preserve"> A Caução é uma </w:t>
      </w:r>
      <w:r>
        <w:rPr>
          <w:b/>
          <w:bCs/>
        </w:rPr>
        <w:t xml:space="preserve">pré-autorização</w:t>
      </w:r>
      <w:r>
        <w:t xml:space="preserve"> (bloqueio temporário de limite) no cartão ou meio de pagamento do Locatário que permita essa operação. O valor não é cobrado, salvo se houver Incidente decidido contra o Locatário.</w:t>
      </w:r>
    </w:p>
    <w:p>
      <w:pPr>
        <w:spacing w:after="120"/>
        <w:jc w:val="both"/>
      </w:pPr>
      <w:r>
        <w:t xml:space="preserve">2.2. </w:t>
      </w:r>
      <w:r>
        <w:rPr>
          <w:b/>
          <w:bCs/>
        </w:rPr>
        <w:t xml:space="preserve">Valor.</w:t>
      </w:r>
      <w:r>
        <w:t xml:space="preserve"> O valor da Caução é definido pelo Anfitrião no Anúncio e </w:t>
      </w:r>
      <w:r>
        <w:rPr>
          <w:b/>
          <w:bCs/>
        </w:rPr>
        <w:t xml:space="preserve">não pode exceder 3 vezes o Valor Base</w:t>
      </w:r>
      <w:r>
        <w:t xml:space="preserve"> da Reserva. Quando o valor definido for superior a esse limite, prevalece o limite.</w:t>
      </w:r>
    </w:p>
    <w:p>
      <w:pPr>
        <w:spacing w:after="120"/>
        <w:jc w:val="both"/>
      </w:pPr>
      <w:r>
        <w:t xml:space="preserve">2.3. </w:t>
      </w:r>
      <w:r>
        <w:rPr>
          <w:b/>
          <w:bCs/>
        </w:rPr>
        <w:t xml:space="preserve">Momento.</w:t>
      </w:r>
      <w:r>
        <w:t xml:space="preserve"> A pré-autorização é realizada na confirmação da Reserva ou antes do início da primeira Ocorrência, conforme a validade permitida pelo emissor, e pode ser renovada em Reservas com várias Ocorrências.</w:t>
      </w:r>
    </w:p>
    <w:p>
      <w:pPr>
        <w:spacing w:after="120"/>
        <w:jc w:val="both"/>
      </w:pPr>
      <w:r>
        <w:t xml:space="preserve">2.4. </w:t>
      </w:r>
      <w:r>
        <w:rPr>
          <w:b/>
          <w:bCs/>
        </w:rPr>
        <w:t xml:space="preserve">Liberação.</w:t>
      </w:r>
      <w:r>
        <w:t xml:space="preserve"> A Caução é </w:t>
      </w:r>
      <w:r>
        <w:rPr>
          <w:b/>
          <w:bCs/>
        </w:rPr>
        <w:t xml:space="preserve">liberada 72 horas após o check-out</w:t>
      </w:r>
      <w:r>
        <w:t xml:space="preserve"> da última Ocorrência se não houver Incidente aberto. Havendo Incidente aberto nesse período, a parcela correspondente ao valor reclamado permanece bloqueada até a decisão, e o saldo é liberado.</w:t>
      </w:r>
    </w:p>
    <w:p>
      <w:pPr>
        <w:spacing w:after="120"/>
        <w:jc w:val="both"/>
      </w:pPr>
      <w:r>
        <w:t xml:space="preserve">2.5. </w:t>
      </w:r>
      <w:r>
        <w:rPr>
          <w:b/>
          <w:bCs/>
        </w:rPr>
        <w:t xml:space="preserve">Captura.</w:t>
      </w:r>
      <w:r>
        <w:t xml:space="preserve"> Nenhum valor é cobrado automaticamente. Somente valores </w:t>
      </w:r>
      <w:r>
        <w:rPr>
          <w:b/>
          <w:bCs/>
        </w:rPr>
        <w:t xml:space="preserve">reconhecidos pelo Locatário</w:t>
      </w:r>
      <w:r>
        <w:t xml:space="preserve"> ou, quando a mediação resultar infrutífera, </w:t>
      </w:r>
      <w:r>
        <w:rPr>
          <w:b/>
          <w:bCs/>
        </w:rPr>
        <w:t xml:space="preserve">decididos pela Plataforma</w:t>
      </w:r>
      <w:r>
        <w:t xml:space="preserve"> na forma da Central de Resolução e Disputas, com a causa do dano </w:t>
      </w:r>
      <w:r>
        <w:rPr>
          <w:b/>
          <w:bCs/>
        </w:rPr>
        <w:t xml:space="preserve">comprovada</w:t>
      </w:r>
      <w:r>
        <w:t xml:space="preserve"> e atribuída ao Locatário (ou a quem estava sob sua responsabilidade), podem ser capturados. O Locatário recebe o detalhamento do valor capturado.</w:t>
      </w:r>
    </w:p>
    <w:p>
      <w:pPr>
        <w:spacing w:after="120"/>
        <w:jc w:val="both"/>
      </w:pPr>
      <w:r>
        <w:t xml:space="preserve">2.6. </w:t>
      </w:r>
      <w:r>
        <w:rPr>
          <w:b/>
          <w:bCs/>
        </w:rPr>
        <w:t xml:space="preserve">Prazo do emissor.</w:t>
      </w:r>
      <w:r>
        <w:t xml:space="preserve"> Após a liberação pela Plataforma, o desbloqueio do limite pode levar alguns dias, conforme o emissor.</w:t>
      </w:r>
    </w:p>
    <w:p>
      <w:pPr>
        <w:spacing w:after="120"/>
        <w:jc w:val="both"/>
      </w:pPr>
      <w:r>
        <w:t xml:space="preserve">2.6.1. </w:t>
      </w:r>
      <w:r>
        <w:rPr>
          <w:b/>
          <w:bCs/>
        </w:rPr>
        <w:t xml:space="preserve">Garantia parcial.</w:t>
      </w:r>
      <w:r>
        <w:t xml:space="preserve"> A Caução é uma </w:t>
      </w:r>
      <w:r>
        <w:rPr>
          <w:b/>
          <w:bCs/>
        </w:rPr>
        <w:t xml:space="preserve">garantia parcial</w:t>
      </w:r>
      <w:r>
        <w:t xml:space="preserve"> e não limita a responsabilidade do Locatário. Se o valor do dano, reconhecido ou decidido na forma da cláusula 2.5, for </w:t>
      </w:r>
      <w:r>
        <w:rPr>
          <w:b/>
          <w:bCs/>
        </w:rPr>
        <w:t xml:space="preserve">maior que a Caução</w:t>
      </w:r>
      <w:r>
        <w:t xml:space="preserve">, o Locatário continua obrigado a </w:t>
      </w:r>
      <w:r>
        <w:rPr>
          <w:b/>
          <w:bCs/>
        </w:rPr>
        <w:t xml:space="preserve">complementar a diferença</w:t>
      </w:r>
      <w:r>
        <w:t xml:space="preserve">, que pode ser cobrada no meio de pagamento cadastrado, do Avalista até o limite de sua responsabilidade, ou pelos meios de cobrança admitidos em lei (Penalidades e Medidas, cláusulas 4.4 e 5.4 a 5.5).</w:t>
      </w:r>
    </w:p>
    <w:p>
      <w:pPr>
        <w:spacing w:after="120"/>
        <w:jc w:val="both"/>
      </w:pPr>
      <w:r>
        <w:t xml:space="preserve">2.7. </w:t>
      </w:r>
      <w:r>
        <w:rPr>
          <w:b/>
          <w:bCs/>
        </w:rPr>
        <w:t xml:space="preserve">Quando usar.</w:t>
      </w:r>
      <w:r>
        <w:t xml:space="preserve"> A Caução é recomendada para Espaços com </w:t>
      </w:r>
      <w:r>
        <w:rPr>
          <w:b/>
          <w:bCs/>
        </w:rPr>
        <w:t xml:space="preserve">equipamentos de alto valor</w:t>
      </w:r>
      <w:r>
        <w:t xml:space="preserve"> (por exemplo, cadeira odontológica, aparelhos de imagem, equipamentos de estética ou de áudio e vídeo) ou </w:t>
      </w:r>
      <w:r>
        <w:rPr>
          <w:b/>
          <w:bCs/>
        </w:rPr>
        <w:t xml:space="preserve">infraestrutura sensível</w:t>
      </w:r>
      <w:r>
        <w:t xml:space="preserve">. O Anfitrião informa no Anúncio o valor e o que ele protege; o Locatário vê o valor antes de reservar.</w:t>
      </w:r>
    </w:p>
    <w:p>
      <w:pPr>
        <w:spacing w:after="120"/>
        <w:jc w:val="both"/>
      </w:pPr>
      <w:r>
        <w:t xml:space="preserve">2.8. </w:t>
      </w:r>
      <w:r>
        <w:rPr>
          <w:b/>
          <w:bCs/>
        </w:rPr>
        <w:t xml:space="preserve">Brasil.</w:t>
      </w:r>
      <w:r>
        <w:t xml:space="preserve"> Enquanto o processador de pagamentos usado no Brasil (Mercado Pago) não permitir pré-autorização pela Plataforma, a Caução de Anúncios no Brasil é </w:t>
      </w:r>
      <w:r>
        <w:rPr>
          <w:b/>
          <w:bCs/>
        </w:rPr>
        <w:t xml:space="preserve">substituída por Avalista</w:t>
      </w:r>
      <w:r>
        <w:t xml:space="preserve">, na forma deste documento: nada é cobrado nem bloqueado no cartão do Locatário a título de Caução, e o Avalista responde, até o limite de sua responsabilidade, pelos valores reconhecidos ou decididos na forma da cláusula 2.5.</w:t>
      </w:r>
    </w:p>
    <w:p>
      <w:pPr>
        <w:pStyle w:val="Heading2"/>
      </w:pPr>
      <w:r>
        <w:t xml:space="preserve">3. Meios de pagamento sem pré-autorização</w:t>
      </w:r>
    </w:p>
    <w:p>
      <w:pPr>
        <w:spacing w:after="120"/>
        <w:jc w:val="both"/>
      </w:pPr>
      <w:r>
        <w:t xml:space="preserve">3.1. Os meios de pagamento </w:t>
      </w:r>
      <w:r>
        <w:rPr>
          <w:b/>
          <w:bCs/>
        </w:rPr>
        <w:t xml:space="preserve">Pix, boleto, OXXO, SPEI, Multibanco, konbini, transferência bancária, BPAY, PSE, net banking, UPI, Bizum, MB WAY, Bit, PayID e Yape</w:t>
      </w:r>
      <w:r>
        <w:t xml:space="preserve"> não permitem pré-autorização.</w:t>
      </w:r>
    </w:p>
    <w:p>
      <w:pPr>
        <w:spacing w:after="120"/>
        <w:jc w:val="both"/>
      </w:pPr>
      <w:r>
        <w:t xml:space="preserve">3.2. Quando o Anúncio exigir Caução e o Locatário pagar por um desses meios, a Caução deve ser substituída, à escolha do Locatário, por: (a) </w:t>
      </w:r>
      <w:r>
        <w:rPr>
          <w:b/>
          <w:bCs/>
        </w:rPr>
        <w:t xml:space="preserve">cartão de garantia</w:t>
      </w:r>
      <w:r>
        <w:t xml:space="preserve"> cadastrado apenas para a pré-autorização da Caução; ou (b) </w:t>
      </w:r>
      <w:r>
        <w:rPr>
          <w:b/>
          <w:bCs/>
        </w:rPr>
        <w:t xml:space="preserve">Avalista</w:t>
      </w:r>
      <w:r>
        <w:t xml:space="preserve"> aceito na forma deste documento.</w:t>
      </w:r>
    </w:p>
    <w:p>
      <w:pPr>
        <w:pStyle w:val="Heading2"/>
      </w:pPr>
      <w:r>
        <w:t xml:space="preserve">4. Avalista — hipóteses de exigência</w:t>
      </w:r>
    </w:p>
    <w:p>
      <w:pPr>
        <w:spacing w:after="120"/>
        <w:jc w:val="both"/>
      </w:pPr>
      <w:r>
        <w:t xml:space="preserve">4.1. O Anfitrião define no Anúncio uma das seguintes políticas: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6F2F1" w:color="auto" w:val="clear"/>
            <w:tcMar>
              <w:top w:type="dxa" w:w="60"/>
              <w:left w:type="dxa" w:w="100"/>
              <w:bottom w:type="dxa" w:w="60"/>
              <w:right w:type="dxa" w:w="100"/>
            </w:tcMar>
          </w:tcPr>
          <w:p>
            <w:r>
              <w:rPr>
                <w:b/>
                <w:bCs/>
                <w:sz w:val="19"/>
                <w:szCs w:val="19"/>
              </w:rPr>
              <w:t xml:space="preserve">Política</w:t>
            </w:r>
          </w:p>
        </w:tc>
        <w:tc>
          <w:tcPr>
            <w:tcW w:type="dxa" w:w="4819"/>
            <w:shd w:fill="E6F2F1" w:color="auto" w:val="clear"/>
            <w:tcMar>
              <w:top w:type="dxa" w:w="60"/>
              <w:left w:type="dxa" w:w="100"/>
              <w:bottom w:type="dxa" w:w="60"/>
              <w:right w:type="dxa" w:w="100"/>
            </w:tcMar>
          </w:tcPr>
          <w:p>
            <w:r>
              <w:rPr>
                <w:b/>
                <w:bCs/>
                <w:sz w:val="19"/>
                <w:szCs w:val="19"/>
              </w:rPr>
              <w:t xml:space="preserve">Efeito</w:t>
            </w:r>
          </w:p>
        </w:tc>
      </w:tr>
      <w:tr>
        <w:trPr>
          <w:tblHeader w:val="off"/>
        </w:trPr>
        <w:tc>
          <w:tcPr>
            <w:tcW w:type="dxa" w:w="4819"/>
            <w:tcMar>
              <w:top w:type="dxa" w:w="60"/>
              <w:left w:type="dxa" w:w="100"/>
              <w:bottom w:type="dxa" w:w="60"/>
              <w:right w:type="dxa" w:w="100"/>
            </w:tcMar>
          </w:tcPr>
          <w:p>
            <w:r>
              <w:rPr>
                <w:b/>
                <w:bCs/>
                <w:sz w:val="19"/>
                <w:szCs w:val="19"/>
              </w:rPr>
              <w:t xml:space="preserve">Nenhum</w:t>
            </w:r>
            <w:r>
              <w:rPr>
                <w:sz w:val="19"/>
                <w:szCs w:val="19"/>
              </w:rPr>
              <w:t xml:space="preserve"> (</w:t>
            </w:r>
            <w:r>
              <w:rPr>
                <w:rFonts w:ascii="Consolas" w:cs="Consolas" w:eastAsia="Consolas" w:hAnsi="Consolas"/>
                <w:sz w:val="19"/>
                <w:szCs w:val="19"/>
              </w:rPr>
              <w:t xml:space="preserve">none</w:t>
            </w:r>
            <w:r>
              <w:rPr>
                <w:sz w:val="19"/>
                <w:szCs w:val="19"/>
              </w:rPr>
              <w:t xml:space="preserve">)</w:t>
            </w:r>
          </w:p>
        </w:tc>
        <w:tc>
          <w:tcPr>
            <w:tcW w:type="dxa" w:w="4819"/>
            <w:tcMar>
              <w:top w:type="dxa" w:w="60"/>
              <w:left w:type="dxa" w:w="100"/>
              <w:bottom w:type="dxa" w:w="60"/>
              <w:right w:type="dxa" w:w="100"/>
            </w:tcMar>
          </w:tcPr>
          <w:p>
            <w:r>
              <w:rPr>
                <w:sz w:val="19"/>
                <w:szCs w:val="19"/>
              </w:rPr>
              <w:t xml:space="preserve">Avalista não é solicitado.</w:t>
            </w:r>
          </w:p>
        </w:tc>
      </w:tr>
      <w:tr>
        <w:trPr>
          <w:tblHeader w:val="off"/>
        </w:trPr>
        <w:tc>
          <w:tcPr>
            <w:tcW w:type="dxa" w:w="4819"/>
            <w:tcMar>
              <w:top w:type="dxa" w:w="60"/>
              <w:left w:type="dxa" w:w="100"/>
              <w:bottom w:type="dxa" w:w="60"/>
              <w:right w:type="dxa" w:w="100"/>
            </w:tcMar>
          </w:tcPr>
          <w:p>
            <w:r>
              <w:rPr>
                <w:b/>
                <w:bCs/>
                <w:sz w:val="19"/>
                <w:szCs w:val="19"/>
              </w:rPr>
              <w:t xml:space="preserve">Opcional</w:t>
            </w:r>
            <w:r>
              <w:rPr>
                <w:sz w:val="19"/>
                <w:szCs w:val="19"/>
              </w:rPr>
              <w:t xml:space="preserve"> (</w:t>
            </w:r>
            <w:r>
              <w:rPr>
                <w:rFonts w:ascii="Consolas" w:cs="Consolas" w:eastAsia="Consolas" w:hAnsi="Consolas"/>
                <w:sz w:val="19"/>
                <w:szCs w:val="19"/>
              </w:rPr>
              <w:t xml:space="preserve">optional</w:t>
            </w:r>
            <w:r>
              <w:rPr>
                <w:sz w:val="19"/>
                <w:szCs w:val="19"/>
              </w:rPr>
              <w:t xml:space="preserve">)</w:t>
            </w:r>
          </w:p>
        </w:tc>
        <w:tc>
          <w:tcPr>
            <w:tcW w:type="dxa" w:w="4819"/>
            <w:tcMar>
              <w:top w:type="dxa" w:w="60"/>
              <w:left w:type="dxa" w:w="100"/>
              <w:bottom w:type="dxa" w:w="60"/>
              <w:right w:type="dxa" w:w="100"/>
            </w:tcMar>
          </w:tcPr>
          <w:p>
            <w:r>
              <w:rPr>
                <w:sz w:val="19"/>
                <w:szCs w:val="19"/>
              </w:rPr>
              <w:t xml:space="preserve">O Locatário pode indicar Avalista para dar mais segurança ao Anfitrião, o que pode favorecer a aceitação de Reservas por solicitação.</w:t>
            </w:r>
          </w:p>
        </w:tc>
      </w:tr>
      <w:tr>
        <w:trPr>
          <w:tblHeader w:val="off"/>
        </w:trPr>
        <w:tc>
          <w:tcPr>
            <w:tcW w:type="dxa" w:w="4819"/>
            <w:tcMar>
              <w:top w:type="dxa" w:w="60"/>
              <w:left w:type="dxa" w:w="100"/>
              <w:bottom w:type="dxa" w:w="60"/>
              <w:right w:type="dxa" w:w="100"/>
            </w:tcMar>
          </w:tcPr>
          <w:p>
            <w:r>
              <w:rPr>
                <w:b/>
                <w:bCs/>
                <w:sz w:val="19"/>
                <w:szCs w:val="19"/>
              </w:rPr>
              <w:t xml:space="preserve">Obrigatório</w:t>
            </w:r>
            <w:r>
              <w:rPr>
                <w:sz w:val="19"/>
                <w:szCs w:val="19"/>
              </w:rPr>
              <w:t xml:space="preserve"> (</w:t>
            </w:r>
            <w:r>
              <w:rPr>
                <w:rFonts w:ascii="Consolas" w:cs="Consolas" w:eastAsia="Consolas" w:hAnsi="Consolas"/>
                <w:sz w:val="19"/>
                <w:szCs w:val="19"/>
              </w:rPr>
              <w:t xml:space="preserve">required</w:t>
            </w:r>
            <w:r>
              <w:rPr>
                <w:sz w:val="19"/>
                <w:szCs w:val="19"/>
              </w:rPr>
              <w:t xml:space="preserve">)</w:t>
            </w:r>
          </w:p>
        </w:tc>
        <w:tc>
          <w:tcPr>
            <w:tcW w:type="dxa" w:w="4819"/>
            <w:tcMar>
              <w:top w:type="dxa" w:w="60"/>
              <w:left w:type="dxa" w:w="100"/>
              <w:bottom w:type="dxa" w:w="60"/>
              <w:right w:type="dxa" w:w="100"/>
            </w:tcMar>
          </w:tcPr>
          <w:p>
            <w:r>
              <w:rPr>
                <w:sz w:val="19"/>
                <w:szCs w:val="19"/>
              </w:rPr>
              <w:t xml:space="preserve">Toda Reserva exige Avalista aceito.</w:t>
            </w:r>
          </w:p>
        </w:tc>
      </w:tr>
      <w:tr>
        <w:trPr>
          <w:tblHeader w:val="off"/>
        </w:trPr>
        <w:tc>
          <w:tcPr>
            <w:tcW w:type="dxa" w:w="4819"/>
            <w:tcMar>
              <w:top w:type="dxa" w:w="60"/>
              <w:left w:type="dxa" w:w="100"/>
              <w:bottom w:type="dxa" w:w="60"/>
              <w:right w:type="dxa" w:w="100"/>
            </w:tcMar>
          </w:tcPr>
          <w:p>
            <w:r>
              <w:rPr>
                <w:b/>
                <w:bCs/>
                <w:sz w:val="19"/>
                <w:szCs w:val="19"/>
              </w:rPr>
              <w:t xml:space="preserve">Obrigatório acima de um valor</w:t>
            </w:r>
            <w:r>
              <w:rPr>
                <w:sz w:val="19"/>
                <w:szCs w:val="19"/>
              </w:rPr>
              <w:t xml:space="preserve"> (</w:t>
            </w:r>
            <w:r>
              <w:rPr>
                <w:rFonts w:ascii="Consolas" w:cs="Consolas" w:eastAsia="Consolas" w:hAnsi="Consolas"/>
                <w:sz w:val="19"/>
                <w:szCs w:val="19"/>
              </w:rPr>
              <w:t xml:space="preserve">required_over_amount</w:t>
            </w:r>
            <w:r>
              <w:rPr>
                <w:sz w:val="19"/>
                <w:szCs w:val="19"/>
              </w:rPr>
              <w:t xml:space="preserve">)</w:t>
            </w:r>
          </w:p>
        </w:tc>
        <w:tc>
          <w:tcPr>
            <w:tcW w:type="dxa" w:w="4819"/>
            <w:tcMar>
              <w:top w:type="dxa" w:w="60"/>
              <w:left w:type="dxa" w:w="100"/>
              <w:bottom w:type="dxa" w:w="60"/>
              <w:right w:type="dxa" w:w="100"/>
            </w:tcMar>
          </w:tcPr>
          <w:p>
            <w:r>
              <w:rPr>
                <w:sz w:val="19"/>
                <w:szCs w:val="19"/>
              </w:rPr>
              <w:t xml:space="preserve">Avalista é exigido quando o total da Reserva for igual ou superior ao valor limite definido pelo Anfitrião.</w:t>
            </w:r>
          </w:p>
        </w:tc>
      </w:tr>
    </w:tbl>
    <w:p/>
    <w:p>
      <w:pPr>
        <w:spacing w:after="120"/>
        <w:jc w:val="both"/>
      </w:pPr>
      <w:r>
        <w:t xml:space="preserve">4.2. A exigência de Avalista não pode ser usada como instrumento de discriminação. Deve ser aplicada de forma uniforme a todos os Locatários daquele Anúncio.</w:t>
      </w:r>
    </w:p>
    <w:p>
      <w:pPr>
        <w:pStyle w:val="Heading2"/>
      </w:pPr>
      <w:r>
        <w:t xml:space="preserve">5. Avalista — dados, aceite e prazo</w:t>
      </w:r>
    </w:p>
    <w:p>
      <w:pPr>
        <w:spacing w:after="120"/>
        <w:jc w:val="both"/>
      </w:pPr>
      <w:r>
        <w:t xml:space="preserve">5.1. O Locatário informa: nome completo, e-mail, telefone (opcional), número de documento de identificação e relação com o Locatário (opcional). O Locatário declara ter autorização do Avalista para compartilhar esses dados com a Plataforma para esta finalidade.</w:t>
      </w:r>
    </w:p>
    <w:p>
      <w:pPr>
        <w:spacing w:after="120"/>
        <w:jc w:val="both"/>
      </w:pPr>
      <w:r>
        <w:t xml:space="preserve">5.2. O Avalista recebe convite por </w:t>
      </w:r>
      <w:r>
        <w:rPr>
          <w:b/>
          <w:bCs/>
        </w:rPr>
        <w:t xml:space="preserve">link individual e seguro</w:t>
      </w:r>
      <w:r>
        <w:t xml:space="preserve"> enviado ao seu e-mail, contendo: identificação do Locatário, do Espaço e das Ocorrências; total da Reserva; limite de responsabilidade; e o inteiro teor deste documento.</w:t>
      </w:r>
    </w:p>
    <w:p>
      <w:pPr>
        <w:spacing w:after="120"/>
        <w:jc w:val="both"/>
      </w:pPr>
      <w:r>
        <w:t xml:space="preserve">5.3. O Avalista tem </w:t>
      </w:r>
      <w:r>
        <w:rPr>
          <w:b/>
          <w:bCs/>
        </w:rPr>
        <w:t xml:space="preserve">48 horas</w:t>
      </w:r>
      <w:r>
        <w:t xml:space="preserve"> para aceitar ou recusar. Enquanto não houver resposta, a Reserva fica com o status "aguardando avalista" e o pagamento apenas autorizado. Recusa ou ausência de resposta no prazo encerram a solicitação e liberam integralmente a autorização, sem custo.</w:t>
      </w:r>
    </w:p>
    <w:p>
      <w:pPr>
        <w:spacing w:after="120"/>
        <w:jc w:val="both"/>
      </w:pPr>
      <w:r>
        <w:t xml:space="preserve">5.4. O Avalista pode </w:t>
      </w:r>
      <w:r>
        <w:rPr>
          <w:b/>
          <w:bCs/>
        </w:rPr>
        <w:t xml:space="preserve">recusar livremente</w:t>
      </w:r>
      <w:r>
        <w:t xml:space="preserve">, sem justificativa e sem qualquer consequência para si.</w:t>
      </w:r>
    </w:p>
    <w:p>
      <w:pPr>
        <w:spacing w:after="120"/>
        <w:jc w:val="both"/>
      </w:pPr>
      <w:r>
        <w:t xml:space="preserve">5.5. O Avalista deve ter </w:t>
      </w:r>
      <w:r>
        <w:rPr>
          <w:b/>
          <w:bCs/>
        </w:rPr>
        <w:t xml:space="preserve">no mínimo 18 anos</w:t>
      </w:r>
      <w:r>
        <w:t xml:space="preserve"> (ou a idade mínima do país, se maior, como 21 anos nos Emirados Árabes Unidos) e plena capacidade civil. Pessoas jurídicas podem ser Avalistas por representante com poderes.</w:t>
      </w:r>
    </w:p>
    <w:p>
      <w:pPr>
        <w:pStyle w:val="Heading2"/>
      </w:pPr>
      <w:r>
        <w:t xml:space="preserve">6. Avalista — responsabilidade</w:t>
      </w:r>
    </w:p>
    <w:p>
      <w:pPr>
        <w:spacing w:after="120"/>
        <w:jc w:val="both"/>
      </w:pPr>
      <w:r>
        <w:t xml:space="preserve">6.1. Ao aceitar, o Avalista torna-se </w:t>
      </w:r>
      <w:r>
        <w:rPr>
          <w:b/>
          <w:bCs/>
        </w:rPr>
        <w:t xml:space="preserve">responsável solidário</w:t>
      </w:r>
      <w:r>
        <w:t xml:space="preserve"> com o Locatário pelo pagamento dos valores devidos em razão daquela Reserva, </w:t>
      </w:r>
      <w:r>
        <w:rPr>
          <w:b/>
          <w:bCs/>
        </w:rPr>
        <w:t xml:space="preserve">limitado a 3 vezes o total da Reserva</w:t>
      </w:r>
      <w:r>
        <w:t xml:space="preserve">, ou a valor inferior indicado no convite.</w:t>
      </w:r>
    </w:p>
    <w:p>
      <w:pPr>
        <w:spacing w:after="120"/>
        <w:jc w:val="both"/>
      </w:pPr>
      <w:r>
        <w:t xml:space="preserve">6.2. A responsabilidade do Avalista: (a) refere-se a uma única Reserva e às suas Ocorrências; (b) não abrange outras Reservas, nem obrigações não pecuniárias; (c) somente é acionada após tentativa frustrada de cobrança pela Caução e pelo meio de pagamento do Locatário, observada a ordem de cobrança de Penalidades e Medidas; (d) extingue-se automaticamente quando a Reserva for concluída sem Incidente aberto dentro dos prazos de reporte, ou com o pagamento integral dos valores decididos.</w:t>
      </w:r>
    </w:p>
    <w:p>
      <w:pPr>
        <w:spacing w:after="120"/>
        <w:jc w:val="both"/>
      </w:pPr>
      <w:r>
        <w:t xml:space="preserve">6.3. O Avalista é notificado da abertura de Incidente que possa acioná-lo e pode apresentar manifestação no mesmo prazo de 48 horas concedido ao Locatário, bem como recorrer da decisão.</w:t>
      </w:r>
    </w:p>
    <w:p>
      <w:pPr>
        <w:spacing w:after="120"/>
        <w:jc w:val="both"/>
      </w:pPr>
      <w:r>
        <w:t xml:space="preserve">6.4. O Avalista que pagar tem direito de regresso contra o Locatário pelo valor integral pago.</w:t>
      </w:r>
    </w:p>
    <w:p>
      <w:pPr>
        <w:spacing w:after="120"/>
        <w:jc w:val="both"/>
      </w:pPr>
      <w:r>
        <w:t xml:space="preserve">6.5. No Brasil, a garantia tem natureza de fiança convencional limitada (Código Civil, arts. 818 e seguintes), com solidariedade expressamente pactuada e renúncia ao benefício de ordem (art. 828, I e II), sem prejuízo da ordem operacional de cobrança da cláusula 6.2(c), que a Plataforma se obriga a observar. Quando o Avalista for casado, aplica-se a exigência legal de outorga conjugal, salvo no regime da separação absoluta de bens (Código Civil, art. 1.647, III); a fiança prestada sem ela pode ser ineficaz (Súmula 332 do STJ). Em outros países aplica-se a figura equivalente (</w:t>
      </w:r>
      <w:r>
        <w:rPr>
          <w:i/>
          <w:iCs/>
        </w:rPr>
        <w:t xml:space="preserve">guarantee</w:t>
      </w:r>
      <w:r>
        <w:t xml:space="preserve">, </w:t>
      </w:r>
      <w:r>
        <w:rPr>
          <w:i/>
          <w:iCs/>
        </w:rPr>
        <w:t xml:space="preserve">fianza</w:t>
      </w:r>
      <w:r>
        <w:t xml:space="preserve">, </w:t>
      </w:r>
      <w:r>
        <w:rPr>
          <w:i/>
          <w:iCs/>
        </w:rPr>
        <w:t xml:space="preserve">Bürgschaft</w:t>
      </w:r>
      <w:r>
        <w:t xml:space="preserve">, </w:t>
      </w:r>
      <w:r>
        <w:rPr>
          <w:i/>
          <w:iCs/>
        </w:rPr>
        <w:t xml:space="preserve">cautionnement</w:t>
      </w:r>
      <w:r>
        <w:t xml:space="preserve">), com as formalidades locais, por exemplo:</w:t>
      </w:r>
    </w:p>
    <w:p>
      <w:pPr>
        <w:pStyle w:val="ListParagraph"/>
        <w:numPr>
          <w:ilvl w:val="0"/>
          <w:numId w:val="2"/>
        </w:numPr>
        <w:spacing w:after="60"/>
      </w:pPr>
      <w:r>
        <w:t xml:space="preserve">(a) </w:t>
      </w:r>
      <w:r>
        <w:rPr>
          <w:b/>
          <w:bCs/>
        </w:rPr>
        <w:t xml:space="preserve">Alemanha</w:t>
      </w:r>
      <w:r>
        <w:t xml:space="preserve">: a fiança prestada por pessoa física não comerciante exige forma escrita com assinatura de próprio punho e </w:t>
      </w:r>
      <w:r>
        <w:rPr>
          <w:b/>
          <w:bCs/>
        </w:rPr>
        <w:t xml:space="preserve">não pode ser prestada em forma eletrônica</w:t>
      </w:r>
      <w:r>
        <w:t xml:space="preserve"> (BGB, § 766); nesses casos, o aceite pela Plataforma deve ser complementado por documento assinado, sem o qual a garantia pode ser ineficaz;</w:t>
      </w:r>
    </w:p>
    <w:p>
      <w:pPr>
        <w:pStyle w:val="ListParagraph"/>
        <w:numPr>
          <w:ilvl w:val="0"/>
          <w:numId w:val="2"/>
        </w:numPr>
        <w:spacing w:after="60"/>
      </w:pPr>
      <w:r>
        <w:t xml:space="preserve">(b) </w:t>
      </w:r>
      <w:r>
        <w:rPr>
          <w:b/>
          <w:bCs/>
        </w:rPr>
        <w:t xml:space="preserve">França</w:t>
      </w:r>
      <w:r>
        <w:t xml:space="preserve">: o fiador pessoa física deve apor menção de próprio punho ou eletrônica do montante e da extensão da garantia (Code civil, art. 2297);</w:t>
      </w:r>
    </w:p>
    <w:p>
      <w:pPr>
        <w:pStyle w:val="ListParagraph"/>
        <w:numPr>
          <w:ilvl w:val="0"/>
          <w:numId w:val="2"/>
        </w:numPr>
        <w:spacing w:after="60"/>
      </w:pPr>
      <w:r>
        <w:t xml:space="preserve">(c) </w:t>
      </w:r>
      <w:r>
        <w:rPr>
          <w:b/>
          <w:bCs/>
        </w:rPr>
        <w:t xml:space="preserve">Reino Unido</w:t>
      </w:r>
      <w:r>
        <w:t xml:space="preserve">: a garantia deve ser escrita e assinada pelo garantidor, admitida a assinatura eletrônica;</w:t>
      </w:r>
    </w:p>
    <w:p>
      <w:pPr>
        <w:pStyle w:val="ListParagraph"/>
        <w:numPr>
          <w:ilvl w:val="0"/>
          <w:numId w:val="2"/>
        </w:numPr>
        <w:spacing w:after="60"/>
      </w:pPr>
      <w:r>
        <w:t xml:space="preserve">(d) </w:t>
      </w:r>
      <w:r>
        <w:rPr>
          <w:b/>
          <w:bCs/>
        </w:rPr>
        <w:t xml:space="preserve">Japão</w:t>
      </w:r>
      <w:r>
        <w:t xml:space="preserve">: o contrato de fiança deve ser feito por escrito ou registro eletrônico e, quando pessoa física garantir obrigações futuras indeterminadas, com valor máximo expresso (Código Civil, arts. 446 e 465-2), requisito atendido pelo limite da cláusula 6.1.</w:t>
      </w:r>
    </w:p>
    <w:p>
      <w:pPr>
        <w:pStyle w:val="Heading2"/>
      </w:pPr>
      <w:r>
        <w:t xml:space="preserve">7. Proteção de dados do Avalista</w:t>
      </w:r>
    </w:p>
    <w:p>
      <w:pPr>
        <w:spacing w:after="120"/>
        <w:jc w:val="both"/>
      </w:pPr>
      <w:r>
        <w:t xml:space="preserve">7.1. Os dados do Avalista são tratados com base na execução do contrato de garantia e no legítimo interesse da Plataforma e do Anfitrião na garantia da Reserva, conforme a LGPD e as leis equivalentes indicadas em Regras por País.</w:t>
      </w:r>
    </w:p>
    <w:p>
      <w:pPr>
        <w:spacing w:after="120"/>
        <w:jc w:val="both"/>
      </w:pPr>
      <w:r>
        <w:t xml:space="preserve">7.2. Os dados são utilizados apenas para: envio do convite, registro do aceite, verificação de identidade, comunicação sobre Incidentes e cobrança. Não são usados para marketing sem consentimento específico.</w:t>
      </w:r>
    </w:p>
    <w:p>
      <w:pPr>
        <w:spacing w:after="120"/>
        <w:jc w:val="both"/>
      </w:pPr>
      <w:r>
        <w:t xml:space="preserve">7.3. O Anfitrião visualiza apenas o nome do Avalista e o status do aceite. Documento e contatos só são compartilhados com o Anfitrião quando necessários à cobrança judicial ou extrajudicial.</w:t>
      </w:r>
    </w:p>
    <w:p>
      <w:pPr>
        <w:spacing w:after="120"/>
        <w:jc w:val="both"/>
      </w:pPr>
      <w:r>
        <w:t xml:space="preserve">7.4. Os dados de Avalistas que recusarem ou não responderem são eliminados em até 90 dias, salvo obrigação legal. Os dados de Avalistas que aceitarem são mantidos pelo prazo prescricional das obrigações garantidas. O Avalista exerce seus direitos de titular pelo canal do Encarregado indicado na Política de Privacidade: Encarregado de Dados (DPO) — info@wmundi.com.</w:t>
      </w:r>
    </w:p>
    <w:p>
      <w:pPr>
        <w:pStyle w:val="Heading2"/>
      </w:pPr>
      <w:r>
        <w:t xml:space="preserve">8. Disposições finais</w:t>
      </w:r>
    </w:p>
    <w:p>
      <w:pPr>
        <w:spacing w:after="120"/>
        <w:jc w:val="both"/>
      </w:pPr>
      <w:r>
        <w:t xml:space="preserve">8.1. Caução e Avalista podem coexistir na mesma Reserva. A existência de garantias não limita a responsabilidade do Locatário, que responde integralmente pelos danos causados.</w:t>
      </w:r>
    </w:p>
    <w:p>
      <w:pPr>
        <w:spacing w:after="120"/>
        <w:jc w:val="both"/>
      </w:pPr>
      <w:r>
        <w:t xml:space="preserve">8.2. A Plataforma não é garantidora das obrigações do Locatário perante o Anfitrião, salvo se oferecer, por escrito e em programa específico, alguma proteção adicional.</w:t>
      </w:r>
    </w:p>
    <w:p>
      <w:r>
        <w:br w:type="page"/>
      </w:r>
    </w:p>
    <w:p>
      <w:pPr>
        <w:pStyle w:val="Heading1"/>
      </w:pPr>
      <w:r>
        <w:t xml:space="preserve">Obrigações do Anfitrião</w:t>
      </w:r>
    </w:p>
    <w:p>
      <w:pPr>
        <w:spacing w:after="120"/>
        <w:jc w:val="both"/>
      </w:pPr>
      <w:r>
        <w:t xml:space="preserve">Versão 2026-09-25 · Vigência a partir de 25/09/2026</w:t>
      </w:r>
    </w:p>
    <w:p>
      <w:pPr>
        <w:pStyle w:val="Heading2"/>
      </w:pPr>
      <w:r>
        <w:t xml:space="preserve">1. Objeto</w:t>
      </w:r>
    </w:p>
    <w:p>
      <w:pPr>
        <w:spacing w:after="120"/>
        <w:jc w:val="both"/>
      </w:pPr>
      <w:r>
        <w:t xml:space="preserve">1.1. Este documento integra os Termos de Uso e estabelece as obrigações do Anfitrião ao anunciar e disponibilizar Espaços na Plataforma. O descumprimento sujeita o Anfitrião às medidas de Penalidades e Medidas, inclusive suspensão do Anúncio e da conta.</w:t>
      </w:r>
    </w:p>
    <w:p>
      <w:pPr>
        <w:pStyle w:val="Heading2"/>
      </w:pPr>
      <w:r>
        <w:t xml:space="preserve">2. Direito de ceder o Espaço</w:t>
      </w:r>
    </w:p>
    <w:p>
      <w:pPr>
        <w:spacing w:after="120"/>
        <w:jc w:val="both"/>
      </w:pPr>
      <w:r>
        <w:t xml:space="preserve">2.1. O Anfitrião declara e garante que tem </w:t>
      </w:r>
      <w:r>
        <w:rPr>
          <w:b/>
          <w:bCs/>
        </w:rPr>
        <w:t xml:space="preserve">direito de ceder o uso do Espaço</w:t>
      </w:r>
      <w:r>
        <w:t xml:space="preserve"> a terceiros por hora, seja como proprietário, seja como locatário, comodatário ou titular de outro direito, com autorização suficiente para tanto.</w:t>
      </w:r>
    </w:p>
    <w:p>
      <w:pPr>
        <w:spacing w:after="120"/>
        <w:jc w:val="both"/>
      </w:pPr>
      <w:r>
        <w:t xml:space="preserve">2.2. Quando o Anfitrião não for proprietário, deve assegurar que o seu contrato (por exemplo, de locação) </w:t>
      </w:r>
      <w:r>
        <w:rPr>
          <w:b/>
          <w:bCs/>
        </w:rPr>
        <w:t xml:space="preserve">não proíbe</w:t>
      </w:r>
      <w:r>
        <w:t xml:space="preserve"> a cessão temporária, a sublocação parcial ou o compartilhamento, ou obter </w:t>
      </w:r>
      <w:r>
        <w:rPr>
          <w:b/>
          <w:bCs/>
        </w:rPr>
        <w:t xml:space="preserve">autorização escrita</w:t>
      </w:r>
      <w:r>
        <w:t xml:space="preserve"> do proprietário. Deve, ainda, verificar se a </w:t>
      </w:r>
      <w:r>
        <w:rPr>
          <w:b/>
          <w:bCs/>
        </w:rPr>
        <w:t xml:space="preserve">convenção ou o regimento do condomínio</w:t>
      </w:r>
      <w:r>
        <w:t xml:space="preserve"> e as regras do edifício permitem a atividade e o fluxo de pessoas decorrentes das Reservas.</w:t>
      </w:r>
    </w:p>
    <w:p>
      <w:pPr>
        <w:spacing w:after="120"/>
        <w:jc w:val="both"/>
      </w:pPr>
      <w:r>
        <w:t xml:space="preserve">2.3. A Plataforma pode solicitar comprovação (matrícula, contrato, autorização) a qualquer tempo e suspender o Anúncio até sua apresentação.</w:t>
      </w:r>
    </w:p>
    <w:p>
      <w:pPr>
        <w:pStyle w:val="Heading2"/>
      </w:pPr>
      <w:r>
        <w:t xml:space="preserve">3. Licenças e regularidade</w:t>
      </w:r>
    </w:p>
    <w:p>
      <w:pPr>
        <w:spacing w:after="120"/>
        <w:jc w:val="both"/>
      </w:pPr>
      <w:r>
        <w:t xml:space="preserve">3.1. O Anfitrião deve manter válidas todas as licenças exigidas para o Espaço e para as atividades nele permitidas, tais como:</w:t>
      </w:r>
    </w:p>
    <w:p>
      <w:pPr>
        <w:pStyle w:val="ListParagraph"/>
        <w:numPr>
          <w:ilvl w:val="0"/>
          <w:numId w:val="2"/>
        </w:numPr>
        <w:spacing w:after="60"/>
      </w:pPr>
      <w:r>
        <w:t xml:space="preserve">(a) </w:t>
      </w:r>
      <w:r>
        <w:rPr>
          <w:b/>
          <w:bCs/>
        </w:rPr>
        <w:t xml:space="preserve">Brasil</w:t>
      </w:r>
      <w:r>
        <w:t xml:space="preserve">: alvará de funcionamento, licença sanitária da Vigilância Sanitária para estabelecimentos de saúde, responsável técnico quando exigido, cadastro no CNES, AVCB/CLCB do Corpo de Bombeiros, conformidade com a RDC ANVISA 611/2022 quando houver equipamento de raios X, plano de gerenciamento de resíduos de serviços de saúde (PGRSS — RDC ANVISA 222/2018);</w:t>
      </w:r>
    </w:p>
    <w:p>
      <w:pPr>
        <w:pStyle w:val="ListParagraph"/>
        <w:numPr>
          <w:ilvl w:val="0"/>
          <w:numId w:val="2"/>
        </w:numPr>
        <w:spacing w:after="60"/>
      </w:pPr>
      <w:r>
        <w:t xml:space="preserve">(b) </w:t>
      </w:r>
      <w:r>
        <w:rPr>
          <w:b/>
          <w:bCs/>
        </w:rPr>
        <w:t xml:space="preserve">Portugal</w:t>
      </w:r>
      <w:r>
        <w:t xml:space="preserve">: registro e licenciamento pela ERS — Entidade Reguladora da Saúde (Decreto-Lei 127/2014);</w:t>
      </w:r>
    </w:p>
    <w:p>
      <w:pPr>
        <w:pStyle w:val="ListParagraph"/>
        <w:numPr>
          <w:ilvl w:val="0"/>
          <w:numId w:val="2"/>
        </w:numPr>
        <w:spacing w:after="60"/>
      </w:pPr>
      <w:r>
        <w:t xml:space="preserve">(c) </w:t>
      </w:r>
      <w:r>
        <w:rPr>
          <w:b/>
          <w:bCs/>
        </w:rPr>
        <w:t xml:space="preserve">Espanha</w:t>
      </w:r>
      <w:r>
        <w:t xml:space="preserve">: autorização sanitária autonômica (RD 1277/2003);</w:t>
      </w:r>
    </w:p>
    <w:p>
      <w:pPr>
        <w:pStyle w:val="ListParagraph"/>
        <w:numPr>
          <w:ilvl w:val="0"/>
          <w:numId w:val="2"/>
        </w:numPr>
        <w:spacing w:after="60"/>
      </w:pPr>
      <w:r>
        <w:t xml:space="preserve">(d) </w:t>
      </w:r>
      <w:r>
        <w:rPr>
          <w:b/>
          <w:bCs/>
        </w:rPr>
        <w:t xml:space="preserve">Itália</w:t>
      </w:r>
      <w:r>
        <w:t xml:space="preserve">: autorizzazione sanitaria regional;</w:t>
      </w:r>
    </w:p>
    <w:p>
      <w:pPr>
        <w:pStyle w:val="ListParagraph"/>
        <w:numPr>
          <w:ilvl w:val="0"/>
          <w:numId w:val="2"/>
        </w:numPr>
        <w:spacing w:after="60"/>
      </w:pPr>
      <w:r>
        <w:t xml:space="preserve">(e) </w:t>
      </w:r>
      <w:r>
        <w:rPr>
          <w:b/>
          <w:bCs/>
        </w:rPr>
        <w:t xml:space="preserve">França</w:t>
      </w:r>
      <w:r>
        <w:t xml:space="preserve">: conformidade ERP e acessibilidade;</w:t>
      </w:r>
    </w:p>
    <w:p>
      <w:pPr>
        <w:pStyle w:val="ListParagraph"/>
        <w:numPr>
          <w:ilvl w:val="0"/>
          <w:numId w:val="2"/>
        </w:numPr>
        <w:spacing w:after="60"/>
      </w:pPr>
      <w:r>
        <w:t xml:space="preserve">(f) </w:t>
      </w:r>
      <w:r>
        <w:rPr>
          <w:b/>
          <w:bCs/>
        </w:rPr>
        <w:t xml:space="preserve">Reino Unido</w:t>
      </w:r>
      <w:r>
        <w:t xml:space="preserve">: registro na </w:t>
      </w:r>
      <w:r>
        <w:rPr>
          <w:b/>
          <w:bCs/>
        </w:rPr>
        <w:t xml:space="preserve">CQC</w:t>
      </w:r>
      <w:r>
        <w:t xml:space="preserve"> (Inglaterra) para atividades reguladas, ou no órgão equivalente da Escócia, do País de Gales ou da Irlanda do Norte;</w:t>
      </w:r>
    </w:p>
    <w:p>
      <w:pPr>
        <w:pStyle w:val="ListParagraph"/>
        <w:numPr>
          <w:ilvl w:val="0"/>
          <w:numId w:val="2"/>
        </w:numPr>
        <w:spacing w:after="60"/>
      </w:pPr>
      <w:r>
        <w:t xml:space="preserve">(g) </w:t>
      </w:r>
      <w:r>
        <w:rPr>
          <w:b/>
          <w:bCs/>
        </w:rPr>
        <w:t xml:space="preserve">México</w:t>
      </w:r>
      <w:r>
        <w:t xml:space="preserve">: aviso de funcionamiento na </w:t>
      </w:r>
      <w:r>
        <w:rPr>
          <w:b/>
          <w:bCs/>
        </w:rPr>
        <w:t xml:space="preserve">COFEPRIS</w:t>
      </w:r>
      <w:r>
        <w:t xml:space="preserve"> para estabelecimentos de saúde e licencia sanitaria para raios X;</w:t>
      </w:r>
    </w:p>
    <w:p>
      <w:pPr>
        <w:pStyle w:val="ListParagraph"/>
        <w:numPr>
          <w:ilvl w:val="0"/>
          <w:numId w:val="2"/>
        </w:numPr>
        <w:spacing w:after="60"/>
      </w:pPr>
      <w:r>
        <w:t xml:space="preserve">(h) </w:t>
      </w:r>
      <w:r>
        <w:rPr>
          <w:b/>
          <w:bCs/>
        </w:rPr>
        <w:t xml:space="preserve">Japão</w:t>
      </w:r>
      <w:r>
        <w:t xml:space="preserve">: 診療所開設届 para clínicas;</w:t>
      </w:r>
    </w:p>
    <w:p>
      <w:pPr>
        <w:pStyle w:val="ListParagraph"/>
        <w:numPr>
          <w:ilvl w:val="0"/>
          <w:numId w:val="2"/>
        </w:numPr>
        <w:spacing w:after="60"/>
      </w:pPr>
      <w:r>
        <w:t xml:space="preserve">(i) </w:t>
      </w:r>
      <w:r>
        <w:rPr>
          <w:b/>
          <w:bCs/>
        </w:rPr>
        <w:t xml:space="preserve">Emirados Árabes Unidos</w:t>
      </w:r>
      <w:r>
        <w:t xml:space="preserve">: </w:t>
      </w:r>
      <w:r>
        <w:rPr>
          <w:i/>
          <w:iCs/>
        </w:rPr>
        <w:t xml:space="preserve">trade licence</w:t>
      </w:r>
      <w:r>
        <w:t xml:space="preserve"> e licenças DHA/DoH/MOHAP;</w:t>
      </w:r>
    </w:p>
    <w:p>
      <w:pPr>
        <w:pStyle w:val="ListParagraph"/>
        <w:numPr>
          <w:ilvl w:val="0"/>
          <w:numId w:val="2"/>
        </w:numPr>
        <w:spacing w:after="60"/>
      </w:pPr>
      <w:r>
        <w:t xml:space="preserve">(j) </w:t>
      </w:r>
      <w:r>
        <w:rPr>
          <w:b/>
          <w:bCs/>
        </w:rPr>
        <w:t xml:space="preserve">Chile, Colômbia e Peru</w:t>
      </w:r>
      <w:r>
        <w:t xml:space="preserve">: autorização da SEREMI de Salud, habilitação no REPS e registro no RENIPRESS, respectivamente;</w:t>
      </w:r>
    </w:p>
    <w:p>
      <w:pPr>
        <w:pStyle w:val="ListParagraph"/>
        <w:numPr>
          <w:ilvl w:val="0"/>
          <w:numId w:val="2"/>
        </w:numPr>
        <w:spacing w:after="60"/>
      </w:pPr>
      <w:r>
        <w:t xml:space="preserve">(k) </w:t>
      </w:r>
      <w:r>
        <w:rPr>
          <w:b/>
          <w:bCs/>
        </w:rPr>
        <w:t xml:space="preserve">China</w:t>
      </w:r>
      <w:r>
        <w:t xml:space="preserve">: 医疗机构执业许可证 ou registro (备案) de clínica;</w:t>
      </w:r>
    </w:p>
    <w:p>
      <w:pPr>
        <w:pStyle w:val="ListParagraph"/>
        <w:numPr>
          <w:ilvl w:val="0"/>
          <w:numId w:val="2"/>
        </w:numPr>
        <w:spacing w:after="60"/>
      </w:pPr>
      <w:r>
        <w:t xml:space="preserve">(l) </w:t>
      </w:r>
      <w:r>
        <w:rPr>
          <w:b/>
          <w:bCs/>
        </w:rPr>
        <w:t xml:space="preserve">Índia</w:t>
      </w:r>
      <w:r>
        <w:t xml:space="preserve">: registro sob o Clinical Establishments Act, 2010 ou lei estadual equivalente;</w:t>
      </w:r>
    </w:p>
    <w:p>
      <w:pPr>
        <w:pStyle w:val="ListParagraph"/>
        <w:numPr>
          <w:ilvl w:val="0"/>
          <w:numId w:val="2"/>
        </w:numPr>
        <w:spacing w:after="60"/>
      </w:pPr>
      <w:r>
        <w:t xml:space="preserve">(m) demais países: licenças equivalentes indicadas em Regras por País e na legislação local.</w:t>
      </w:r>
    </w:p>
    <w:p>
      <w:pPr>
        <w:spacing w:after="120"/>
        <w:jc w:val="both"/>
      </w:pPr>
      <w:r>
        <w:t xml:space="preserve">3.2. Se o Espaço for de saúde e a licença sanitária estiver vinculada a um responsável técnico ou a atividades específicas, o Anfitrião deve restringir as atividades permitidas no Anúncio ao escopo licenciado e informar se o Locatário precisa de cadastro próprio perante a autoridade sanitária.</w:t>
      </w:r>
    </w:p>
    <w:p>
      <w:pPr>
        <w:spacing w:after="120"/>
        <w:jc w:val="both"/>
      </w:pPr>
      <w:r>
        <w:t xml:space="preserve">3.3. O Anfitrião deve informar imediatamente à Plataforma e desativar o Anúncio em caso de interdição, suspensão ou vencimento de licença.</w:t>
      </w:r>
    </w:p>
    <w:p>
      <w:pPr>
        <w:spacing w:after="120"/>
        <w:jc w:val="both"/>
      </w:pPr>
      <w:r>
        <w:t xml:space="preserve">3.4. </w:t>
      </w:r>
      <w:r>
        <w:rPr>
          <w:b/>
          <w:bCs/>
        </w:rPr>
        <w:t xml:space="preserve">Confirmação da habilitação do Locatário.</w:t>
      </w:r>
      <w:r>
        <w:t xml:space="preserve"> A Plataforma realiza apenas uma </w:t>
      </w:r>
      <w:r>
        <w:rPr>
          <w:b/>
          <w:bCs/>
        </w:rPr>
        <w:t xml:space="preserve">pré-triagem automatizada</w:t>
      </w:r>
      <w:r>
        <w:t xml:space="preserve">, com apoio de agente de inteligência artificial, do registro profissional enviado pelo Locatário (coerência do documento e do número com o nome do Locatário e com o órgão regulador do país), podendo solicitar documentos adicionais. </w:t>
      </w:r>
      <w:r>
        <w:rPr>
          <w:b/>
          <w:bCs/>
        </w:rPr>
        <w:t xml:space="preserve">A pré-triagem não é garantia</w:t>
      </w:r>
      <w:r>
        <w:t xml:space="preserve"> de que o registro esteja válido e ativo. Por isso, antes de cada Reserva de Espaço regulado (saúde, advocacia e outras atividades regulamentadas), </w:t>
      </w:r>
      <w:r>
        <w:rPr>
          <w:b/>
          <w:bCs/>
        </w:rPr>
        <w:t xml:space="preserve">o Anfitrião é responsável por confirmar</w:t>
      </w:r>
      <w:r>
        <w:t xml:space="preserve"> que o Locatário possui habilitação válida e ativa para a atividade declarada, por exemplo consultando a base pública do conselho ou da ordem profissional ou solicitando o documento pela Plataforma. Nas Reservas por solicitação, a confirmação deve ocorrer antes do aceite; nas Reservas instantâneas, logo após a confirmação e, em qualquer caso, antes do início da primeira Ocorrência. Em séries, a confirmação vale para toda a série, mas deve ser renovada se houver indício de alteração no status do registro.</w:t>
      </w:r>
    </w:p>
    <w:p>
      <w:pPr>
        <w:spacing w:after="120"/>
        <w:jc w:val="both"/>
      </w:pPr>
      <w:r>
        <w:t xml:space="preserve">3.5. </w:t>
      </w:r>
      <w:r>
        <w:rPr>
          <w:b/>
          <w:bCs/>
        </w:rPr>
        <w:t xml:space="preserve">Dever de recusar em caso de dúvida.</w:t>
      </w:r>
      <w:r>
        <w:t xml:space="preserve"> Havendo dúvida fundada sobre a habilitação do Locatário (registro não localizado, suspenso, cancelado, de outra pessoa, de outra região ou incompatível com a atividade declarada), o Anfitrião deve </w:t>
      </w:r>
      <w:r>
        <w:rPr>
          <w:b/>
          <w:bCs/>
        </w:rPr>
        <w:t xml:space="preserve">recusar a solicitação ou cancelar a Reserva, sem multa nem Advertência</w:t>
      </w:r>
      <w:r>
        <w:t xml:space="preserve">, informando o motivo pela Plataforma (Política de Cancelamento e Reembolso, cláusula 7.4).</w:t>
      </w:r>
    </w:p>
    <w:p>
      <w:pPr>
        <w:spacing w:after="120"/>
        <w:jc w:val="both"/>
      </w:pPr>
      <w:r>
        <w:t xml:space="preserve">3.6. </w:t>
      </w:r>
      <w:r>
        <w:rPr>
          <w:b/>
          <w:bCs/>
        </w:rPr>
        <w:t xml:space="preserve">Conivência.</w:t>
      </w:r>
      <w:r>
        <w:t xml:space="preserve"> O Anfitrião que, conscientemente, permitir o uso do Espaço por pessoa sem habilitação legal para a atividade regulamentada terá sua conta </w:t>
      </w:r>
      <w:r>
        <w:rPr>
          <w:b/>
          <w:bCs/>
        </w:rPr>
        <w:t xml:space="preserve">excluída definitivamente</w:t>
      </w:r>
      <w:r>
        <w:t xml:space="preserve">, sem prejuízo de sua responsabilidade perante as autoridades sanitárias, os órgãos profissionais e terceiros (Penalidades e Medidas). O Anfitrião deve comunicar à Plataforma e, quando cabível, às autoridades, qualquer indício de exercício ilegal de profissão em seu Espaço.</w:t>
      </w:r>
    </w:p>
    <w:p>
      <w:pPr>
        <w:pStyle w:val="Heading2"/>
      </w:pPr>
      <w:r>
        <w:t xml:space="preserve">4. Seguro</w:t>
      </w:r>
    </w:p>
    <w:p>
      <w:pPr>
        <w:spacing w:after="120"/>
        <w:jc w:val="both"/>
      </w:pPr>
      <w:r>
        <w:t xml:space="preserve">4.1. Recomenda-se fortemente que o Anfitrião mantenha </w:t>
      </w:r>
      <w:r>
        <w:rPr>
          <w:b/>
          <w:bCs/>
        </w:rPr>
        <w:t xml:space="preserve">seguro patrimonial</w:t>
      </w:r>
      <w:r>
        <w:t xml:space="preserve"> (incêndio, danos elétricos, equipamentos) e </w:t>
      </w:r>
      <w:r>
        <w:rPr>
          <w:b/>
          <w:bCs/>
        </w:rPr>
        <w:t xml:space="preserve">seguro de responsabilidade civil</w:t>
      </w:r>
      <w:r>
        <w:t xml:space="preserve"> que cubra o uso por terceiros. Onde a lei ou o condomínio exigirem seguro, a contratação é obrigatória.</w:t>
      </w:r>
    </w:p>
    <w:p>
      <w:pPr>
        <w:spacing w:after="120"/>
        <w:jc w:val="both"/>
      </w:pPr>
      <w:r>
        <w:t xml:space="preserve">4.2. O Anfitrião deve verificar se sua apólice admite o uso compartilhado do Espaço. A Caução e o Avalista não substituem o seguro.</w:t>
      </w:r>
    </w:p>
    <w:p>
      <w:pPr>
        <w:pStyle w:val="Heading2"/>
      </w:pPr>
      <w:r>
        <w:t xml:space="preserve">5. Anúncio preciso</w:t>
      </w:r>
    </w:p>
    <w:p>
      <w:pPr>
        <w:spacing w:after="120"/>
        <w:jc w:val="both"/>
      </w:pPr>
      <w:r>
        <w:t xml:space="preserve">5.1. O Anúncio deve descrever com exatidão: categoria; endereço e bairro; capacidade máxima; área; equipamentos (marca, modelo e estado, quando relevante); comodidades; acessibilidade; câmeras em áreas comuns; atividades permitidas e proibidas; normas internas; normas do condomínio ou edifício; intervalo de limpeza; política de cancelamento; política de Avalista; valor da Caução; e se exige registro profissional.</w:t>
      </w:r>
    </w:p>
    <w:p>
      <w:pPr>
        <w:spacing w:after="120"/>
        <w:jc w:val="both"/>
      </w:pPr>
      <w:r>
        <w:t xml:space="preserve">5.2. </w:t>
      </w:r>
      <w:r>
        <w:rPr>
          <w:b/>
          <w:bCs/>
        </w:rPr>
        <w:t xml:space="preserve">Fotos.</w:t>
      </w:r>
      <w:r>
        <w:t xml:space="preserve"> O Anfitrião envia fotos reais do Espaço, que devem ser:</w:t>
      </w:r>
    </w:p>
    <w:p>
      <w:pPr>
        <w:pStyle w:val="ListParagraph"/>
        <w:numPr>
          <w:ilvl w:val="0"/>
          <w:numId w:val="2"/>
        </w:numPr>
        <w:spacing w:after="60"/>
      </w:pPr>
      <w:r>
        <w:t xml:space="preserve">(a) </w:t>
      </w:r>
      <w:r>
        <w:rPr>
          <w:b/>
          <w:bCs/>
        </w:rPr>
        <w:t xml:space="preserve">fiéis</w:t>
      </w:r>
      <w:r>
        <w:t xml:space="preserve">, retratando o Espaço, os equipamentos e as condições como efetivamente são, sem edição que altere dimensões, estado de conservação ou itens disponíveis;</w:t>
      </w:r>
    </w:p>
    <w:p>
      <w:pPr>
        <w:pStyle w:val="ListParagraph"/>
        <w:numPr>
          <w:ilvl w:val="0"/>
          <w:numId w:val="2"/>
        </w:numPr>
        <w:spacing w:after="60"/>
      </w:pPr>
      <w:r>
        <w:t xml:space="preserve">(b) </w:t>
      </w:r>
      <w:r>
        <w:rPr>
          <w:b/>
          <w:bCs/>
        </w:rPr>
        <w:t xml:space="preserve">recentes</w:t>
      </w:r>
      <w:r>
        <w:t xml:space="preserve">, atualizadas sempre que houver mudança relevante no Espaço ou nos equipamentos;</w:t>
      </w:r>
    </w:p>
    <w:p>
      <w:pPr>
        <w:pStyle w:val="ListParagraph"/>
        <w:numPr>
          <w:ilvl w:val="0"/>
          <w:numId w:val="2"/>
        </w:numPr>
        <w:spacing w:after="60"/>
      </w:pPr>
      <w:r>
        <w:t xml:space="preserve">(c) </w:t>
      </w:r>
      <w:r>
        <w:rPr>
          <w:b/>
          <w:bCs/>
        </w:rPr>
        <w:t xml:space="preserve">de titularidade do Anfitrião</w:t>
      </w:r>
      <w:r>
        <w:t xml:space="preserve"> ou por ele licenciadas, com direito de uso para publicação na Plataforma (Termos de Uso, cláusula 11);</w:t>
      </w:r>
    </w:p>
    <w:p>
      <w:pPr>
        <w:pStyle w:val="ListParagraph"/>
        <w:numPr>
          <w:ilvl w:val="0"/>
          <w:numId w:val="2"/>
        </w:numPr>
        <w:spacing w:after="60"/>
      </w:pPr>
      <w:r>
        <w:t xml:space="preserve">(d) </w:t>
      </w:r>
      <w:r>
        <w:rPr>
          <w:b/>
          <w:bCs/>
        </w:rPr>
        <w:t xml:space="preserve">sem pessoas, pacientes, clientes ou documentos identificáveis</w:t>
      </w:r>
      <w:r>
        <w:t xml:space="preserve">, como rostos, prontuários, receitas, telas de computador, placas de veículos, nomes ou dados pessoais.</w:t>
      </w:r>
    </w:p>
    <w:p>
      <w:pPr>
        <w:spacing w:after="120"/>
        <w:jc w:val="both"/>
      </w:pPr>
      <w:r>
        <w:t xml:space="preserve">É proibido usar imagens meramente ilustrativas, de banco de imagens ou de outro Espaço, omitir defeitos relevantes ou anunciar equipamentos indisponíveis. A Plataforma pode remover fotos que violem esta cláusula, e fotos enganosas caracterizam Anúncio impreciso.</w:t>
      </w:r>
    </w:p>
    <w:p>
      <w:pPr>
        <w:spacing w:after="120"/>
        <w:jc w:val="both"/>
      </w:pPr>
      <w:r>
        <w:t xml:space="preserve">5.3. </w:t>
      </w:r>
      <w:r>
        <w:rPr>
          <w:b/>
          <w:bCs/>
        </w:rPr>
        <w:t xml:space="preserve">Preços</w:t>
      </w:r>
      <w:r>
        <w:t xml:space="preserve"> devem ser informados na moeda do país do Espaço. A </w:t>
      </w:r>
      <w:r>
        <w:rPr>
          <w:b/>
          <w:bCs/>
        </w:rPr>
        <w:t xml:space="preserve">Taxa de Limpeza</w:t>
      </w:r>
      <w:r>
        <w:t xml:space="preserve"> não pode exceder 30% do Valor Base, e a </w:t>
      </w:r>
      <w:r>
        <w:rPr>
          <w:b/>
          <w:bCs/>
        </w:rPr>
        <w:t xml:space="preserve">Caução</w:t>
      </w:r>
      <w:r>
        <w:t xml:space="preserve"> não pode exceder 3 vezes o Valor Base.</w:t>
      </w:r>
    </w:p>
    <w:p>
      <w:pPr>
        <w:spacing w:after="120"/>
        <w:jc w:val="both"/>
      </w:pPr>
      <w:r>
        <w:t xml:space="preserve">5.4. O Anúncio impreciso sujeita o Anfitrião a reembolso ao Locatário e a Advertência (Penalidades e Medidas).</w:t>
      </w:r>
    </w:p>
    <w:p>
      <w:pPr>
        <w:pStyle w:val="Heading2"/>
      </w:pPr>
      <w:r>
        <w:t xml:space="preserve">6. Disponibilidade real</w:t>
      </w:r>
    </w:p>
    <w:p>
      <w:pPr>
        <w:spacing w:after="120"/>
        <w:jc w:val="both"/>
      </w:pPr>
      <w:r>
        <w:t xml:space="preserve">6.1. O Anfitrião deve informar apenas horários efetivamente ociosos e manter o calendário atualizado, bloqueando datas indisponíveis. O calendário deve refletir outros usos do Espaço, inclusive os próprios e os de outras plataformas.</w:t>
      </w:r>
    </w:p>
    <w:p>
      <w:pPr>
        <w:spacing w:after="120"/>
        <w:jc w:val="both"/>
      </w:pPr>
      <w:r>
        <w:t xml:space="preserve">6.2. Os horários disponíveis devem respeitar os limites da Plataforma (06:00 a 23:00, sem pernoite).</w:t>
      </w:r>
    </w:p>
    <w:p>
      <w:pPr>
        <w:pStyle w:val="Heading2"/>
      </w:pPr>
      <w:r>
        <w:t xml:space="preserve">7. Equipamentos, manutenção e calibração</w:t>
      </w:r>
    </w:p>
    <w:p>
      <w:pPr>
        <w:spacing w:after="120"/>
        <w:jc w:val="both"/>
      </w:pPr>
      <w:r>
        <w:t xml:space="preserve">7.1. O Anfitrião deve manter os equipamentos anunciados em funcionamento, com </w:t>
      </w:r>
      <w:r>
        <w:rPr>
          <w:b/>
          <w:bCs/>
        </w:rPr>
        <w:t xml:space="preserve">manutenção preventiva e corretiva</w:t>
      </w:r>
      <w:r>
        <w:t xml:space="preserve">, </w:t>
      </w:r>
      <w:r>
        <w:rPr>
          <w:b/>
          <w:bCs/>
        </w:rPr>
        <w:t xml:space="preserve">calibração</w:t>
      </w:r>
      <w:r>
        <w:t xml:space="preserve">, </w:t>
      </w:r>
      <w:r>
        <w:rPr>
          <w:b/>
          <w:bCs/>
        </w:rPr>
        <w:t xml:space="preserve">validação</w:t>
      </w:r>
      <w:r>
        <w:t xml:space="preserve"> e </w:t>
      </w:r>
      <w:r>
        <w:rPr>
          <w:b/>
          <w:bCs/>
        </w:rPr>
        <w:t xml:space="preserve">testes</w:t>
      </w:r>
      <w:r>
        <w:t xml:space="preserve"> exigidos pela legislação e pelo fabricante (por exemplo, testes biológicos de autoclave, dosimetria e levantamento radiométrico de raios X, manutenção de compressores e sugadores), guardando os registros.</w:t>
      </w:r>
    </w:p>
    <w:p>
      <w:pPr>
        <w:spacing w:after="120"/>
        <w:jc w:val="both"/>
      </w:pPr>
      <w:r>
        <w:t xml:space="preserve">7.2. Equipamentos inoperantes devem ser retirados do Anúncio ou sinalizados antes da Reserva. Se a falha ocorrer após a confirmação, o Anfitrião deve avisar o Locatário imediatamente, que poderá cancelar sem custo as Ocorrências afetadas.</w:t>
      </w:r>
    </w:p>
    <w:p>
      <w:pPr>
        <w:pStyle w:val="Heading2"/>
      </w:pPr>
      <w:r>
        <w:t xml:space="preserve">8. Limpeza entre Reservas</w:t>
      </w:r>
    </w:p>
    <w:p>
      <w:pPr>
        <w:spacing w:after="120"/>
        <w:jc w:val="both"/>
      </w:pPr>
      <w:r>
        <w:t xml:space="preserve">8.1. O Anfitrião deve entregar o Espaço </w:t>
      </w:r>
      <w:r>
        <w:rPr>
          <w:b/>
          <w:bCs/>
        </w:rPr>
        <w:t xml:space="preserve">limpo e higienizado</w:t>
      </w:r>
      <w:r>
        <w:t xml:space="preserve"> no início de cada Ocorrência, observando os protocolos sanitários da categoria, e utilizar o intervalo de limpeza configurado para esse fim.</w:t>
      </w:r>
    </w:p>
    <w:p>
      <w:pPr>
        <w:spacing w:after="120"/>
        <w:jc w:val="both"/>
      </w:pPr>
      <w:r>
        <w:t xml:space="preserve">8.2. Em Espaços de saúde, o Anfitrião deve disponibilizar coletores adequados para resíduos infectantes e perfurocortantes e manter contrato de coleta de resíduos de serviços de saúde, quando exigido.</w:t>
      </w:r>
    </w:p>
    <w:p>
      <w:pPr>
        <w:pStyle w:val="Heading2"/>
      </w:pPr>
      <w:r>
        <w:t xml:space="preserve">9. Acesso no horário</w:t>
      </w:r>
    </w:p>
    <w:p>
      <w:pPr>
        <w:spacing w:after="120"/>
        <w:jc w:val="both"/>
      </w:pPr>
      <w:r>
        <w:t xml:space="preserve">9.1. O Anfitrião deve garantir o </w:t>
      </w:r>
      <w:r>
        <w:rPr>
          <w:b/>
          <w:bCs/>
        </w:rPr>
        <w:t xml:space="preserve">acesso do Locatário no horário de início</w:t>
      </w:r>
      <w:r>
        <w:t xml:space="preserve"> da Ocorrência, com instruções claras (chaves, códigos, portaria, cadastro de visitantes), e manter um contato disponível durante a Ocorrência para emergências.</w:t>
      </w:r>
    </w:p>
    <w:p>
      <w:pPr>
        <w:spacing w:after="120"/>
        <w:jc w:val="both"/>
      </w:pPr>
      <w:r>
        <w:t xml:space="preserve">9.2. A falta de acesso gera reembolso integral ao Locatário e Advertência ao Anfitrião.</w:t>
      </w:r>
    </w:p>
    <w:p>
      <w:pPr>
        <w:pStyle w:val="Heading2"/>
      </w:pPr>
      <w:r>
        <w:t xml:space="preserve">10. Privacidade de arquivos próprios</w:t>
      </w:r>
    </w:p>
    <w:p>
      <w:pPr>
        <w:spacing w:after="120"/>
        <w:jc w:val="both"/>
      </w:pPr>
      <w:r>
        <w:t xml:space="preserve">10.1. O Anfitrião deve </w:t>
      </w:r>
      <w:r>
        <w:rPr>
          <w:b/>
          <w:bCs/>
        </w:rPr>
        <w:t xml:space="preserve">retirar ou trancar</w:t>
      </w:r>
      <w:r>
        <w:t xml:space="preserve"> prontuários, arquivos, documentos, computadores, dispositivos e bens pessoais que não integrem o Anúncio, em especial dados de seus próprios pacientes e clientes, cumprindo seus deveres de sigilo profissional e de proteção de dados.</w:t>
      </w:r>
    </w:p>
    <w:p>
      <w:pPr>
        <w:spacing w:after="120"/>
        <w:jc w:val="both"/>
      </w:pPr>
      <w:r>
        <w:t xml:space="preserve">10.2. É proibido instalar câmeras ou dispositivos de gravação em áreas de atendimento, consultórios, salas de terapia, banheiros e vestiários. Câmeras em áreas comuns devem ser informadas no Anúncio e sinalizadas no local.</w:t>
      </w:r>
    </w:p>
    <w:p>
      <w:pPr>
        <w:pStyle w:val="Heading2"/>
      </w:pPr>
      <w:r>
        <w:t xml:space="preserve">11. Tributos sobre rendimentos</w:t>
      </w:r>
    </w:p>
    <w:p>
      <w:pPr>
        <w:spacing w:after="120"/>
        <w:jc w:val="both"/>
      </w:pPr>
      <w:r>
        <w:t xml:space="preserve">11.1. O Anfitrião é o único responsável pela </w:t>
      </w:r>
      <w:r>
        <w:rPr>
          <w:b/>
          <w:bCs/>
        </w:rPr>
        <w:t xml:space="preserve">declaração e pelo recolhimento dos tributos</w:t>
      </w:r>
      <w:r>
        <w:t xml:space="preserve"> sobre os valores recebidos, pela emissão de documentos fiscais exigidos por sua legislação e pelo cumprimento de obrigações acessórias.</w:t>
      </w:r>
    </w:p>
    <w:p>
      <w:pPr>
        <w:spacing w:after="120"/>
        <w:jc w:val="both"/>
      </w:pPr>
      <w:r>
        <w:t xml:space="preserve">11.2. A Plataforma pode ser obrigada a coletar dados fiscais do Anfitrião, reter tributos ou comunicar rendimentos às autoridades, por exemplo:</w:t>
      </w:r>
    </w:p>
    <w:p>
      <w:pPr>
        <w:pStyle w:val="ListParagraph"/>
        <w:numPr>
          <w:ilvl w:val="0"/>
          <w:numId w:val="2"/>
        </w:numPr>
        <w:spacing w:after="60"/>
      </w:pPr>
      <w:r>
        <w:t xml:space="preserve">(a) </w:t>
      </w:r>
      <w:r>
        <w:rPr>
          <w:b/>
          <w:bCs/>
        </w:rPr>
        <w:t xml:space="preserve">União Europeia</w:t>
      </w:r>
      <w:r>
        <w:t xml:space="preserve">: Diretiva </w:t>
      </w:r>
      <w:r>
        <w:rPr>
          <w:b/>
          <w:bCs/>
        </w:rPr>
        <w:t xml:space="preserve">DAC7</w:t>
      </w:r>
      <w:r>
        <w:t xml:space="preserve"> (Diretiva (UE) 2021/514) — comunicação anual às autoridades fiscais dos rendimentos de Anfitriões por cessão de imóveis e prestação de serviços;</w:t>
      </w:r>
    </w:p>
    <w:p>
      <w:pPr>
        <w:pStyle w:val="ListParagraph"/>
        <w:numPr>
          <w:ilvl w:val="0"/>
          <w:numId w:val="2"/>
        </w:numPr>
        <w:spacing w:after="60"/>
      </w:pPr>
      <w:r>
        <w:t xml:space="preserve">(b) </w:t>
      </w:r>
      <w:r>
        <w:rPr>
          <w:b/>
          <w:bCs/>
        </w:rPr>
        <w:t xml:space="preserve">Estados Unidos</w:t>
      </w:r>
      <w:r>
        <w:t xml:space="preserve">: </w:t>
      </w:r>
      <w:r>
        <w:rPr>
          <w:b/>
          <w:bCs/>
        </w:rPr>
        <w:t xml:space="preserve">Form 1099-K</w:t>
      </w:r>
      <w:r>
        <w:t xml:space="preserve"> (limite federal de US$ 20.000 e 200 transações por ano; alguns estados adotam limites menores) e coleta de Form W-9/W-8;</w:t>
      </w:r>
    </w:p>
    <w:p>
      <w:pPr>
        <w:pStyle w:val="ListParagraph"/>
        <w:numPr>
          <w:ilvl w:val="0"/>
          <w:numId w:val="2"/>
        </w:numPr>
        <w:spacing w:after="60"/>
      </w:pPr>
      <w:r>
        <w:t xml:space="preserve">(c) </w:t>
      </w:r>
      <w:r>
        <w:rPr>
          <w:b/>
          <w:bCs/>
        </w:rPr>
        <w:t xml:space="preserve">México</w:t>
      </w:r>
      <w:r>
        <w:t xml:space="preserve">: retenções de IVA/ISR por plataformas digitais sobre repasses a pessoas físicas (Ley del IVA, Cap. III Bis; LISR, arts. 113-A a 113-D);</w:t>
      </w:r>
    </w:p>
    <w:p>
      <w:pPr>
        <w:pStyle w:val="ListParagraph"/>
        <w:numPr>
          <w:ilvl w:val="0"/>
          <w:numId w:val="2"/>
        </w:numPr>
        <w:spacing w:after="60"/>
      </w:pPr>
      <w:r>
        <w:t xml:space="preserve">(d) </w:t>
      </w:r>
      <w:r>
        <w:rPr>
          <w:b/>
          <w:bCs/>
        </w:rPr>
        <w:t xml:space="preserve">Índia</w:t>
      </w:r>
      <w:r>
        <w:t xml:space="preserve">: TCS sob o GST (0,5%) e TDS do imposto de renda (s. 194-O; 0,1%), quando aplicáveis;</w:t>
      </w:r>
    </w:p>
    <w:p>
      <w:pPr>
        <w:pStyle w:val="ListParagraph"/>
        <w:numPr>
          <w:ilvl w:val="0"/>
          <w:numId w:val="2"/>
        </w:numPr>
        <w:spacing w:after="60"/>
      </w:pPr>
      <w:r>
        <w:t xml:space="preserve">(e) </w:t>
      </w:r>
      <w:r>
        <w:rPr>
          <w:b/>
          <w:bCs/>
        </w:rPr>
        <w:t xml:space="preserve">Brasil</w:t>
      </w:r>
      <w:r>
        <w:t xml:space="preserve">: obrigações de informação e retenção aplicáveis, inclusive na transição para CBS/IBS (LC 214/2025);</w:t>
      </w:r>
    </w:p>
    <w:p>
      <w:pPr>
        <w:pStyle w:val="ListParagraph"/>
        <w:numPr>
          <w:ilvl w:val="0"/>
          <w:numId w:val="2"/>
        </w:numPr>
        <w:spacing w:after="60"/>
      </w:pPr>
      <w:r>
        <w:t xml:space="preserve">(f) </w:t>
      </w:r>
      <w:r>
        <w:rPr>
          <w:b/>
          <w:bCs/>
        </w:rPr>
        <w:t xml:space="preserve">Reino Unido, Canadá e Austrália</w:t>
      </w:r>
      <w:r>
        <w:t xml:space="preserve">: comunicação de rendimentos de usuários pelas regras de </w:t>
      </w:r>
      <w:r>
        <w:rPr>
          <w:i/>
          <w:iCs/>
        </w:rPr>
        <w:t xml:space="preserve">platform reporting</w:t>
      </w:r>
      <w:r>
        <w:t xml:space="preserve"> (HMRC, CRA e ATO);</w:t>
      </w:r>
    </w:p>
    <w:p>
      <w:pPr>
        <w:pStyle w:val="ListParagraph"/>
        <w:numPr>
          <w:ilvl w:val="0"/>
          <w:numId w:val="2"/>
        </w:numPr>
        <w:spacing w:after="60"/>
      </w:pPr>
      <w:r>
        <w:t xml:space="preserve">(g) </w:t>
      </w:r>
      <w:r>
        <w:rPr>
          <w:b/>
          <w:bCs/>
        </w:rPr>
        <w:t xml:space="preserve">China</w:t>
      </w:r>
      <w:r>
        <w:t xml:space="preserve">: comunicação de identidade e rendimentos dos operadores às autoridades fiscais (Regulamento do Conselho de Estado nº 810/2025).</w:t>
      </w:r>
    </w:p>
    <w:p>
      <w:pPr>
        <w:spacing w:after="120"/>
        <w:jc w:val="both"/>
      </w:pPr>
      <w:r>
        <w:t xml:space="preserve">11.3. O Anfitrião deve manter atualizados seus dados fiscais (por exemplo, CPF/CNPJ, NIF, EIN, RFC) e bancários. A falta desses dados pode levar à retenção de repasses até a regularização.</w:t>
      </w:r>
    </w:p>
    <w:p>
      <w:pPr>
        <w:pStyle w:val="Heading2"/>
      </w:pPr>
      <w:r>
        <w:t xml:space="preserve">12. Não discriminação</w:t>
      </w:r>
    </w:p>
    <w:p>
      <w:pPr>
        <w:spacing w:after="120"/>
        <w:jc w:val="both"/>
      </w:pPr>
      <w:r>
        <w:t xml:space="preserve">12.1. O Anfitrião não pode recusar, cancelar ou impor condições diferentes a Reservas com base em raça, cor, etnia, origem, nacionalidade, religião, deficiência, sexo, orientação sexual, identidade de gênero, idade, estado civil ou outra característica protegida. Recusas devem se basear em critérios objetivos e legítimos (disponibilidade, compatibilidade da atividade, registro profissional, histórico na Plataforma).</w:t>
      </w:r>
    </w:p>
    <w:p>
      <w:pPr>
        <w:pStyle w:val="Heading2"/>
      </w:pPr>
      <w:r>
        <w:t xml:space="preserve">13. Comunicação e respostas</w:t>
      </w:r>
    </w:p>
    <w:p>
      <w:pPr>
        <w:spacing w:after="120"/>
        <w:jc w:val="both"/>
      </w:pPr>
      <w:r>
        <w:t xml:space="preserve">13.1. O Anfitrião deve responder a mensagens e solicitações de Reserva em até </w:t>
      </w:r>
      <w:r>
        <w:rPr>
          <w:b/>
          <w:bCs/>
        </w:rPr>
        <w:t xml:space="preserve">24 horas</w:t>
      </w:r>
      <w:r>
        <w:t xml:space="preserve">. Solicitações não respondidas nesse prazo expiram automaticamente, o que pode afetar a posição do Anúncio nas buscas.</w:t>
      </w:r>
    </w:p>
    <w:p>
      <w:pPr>
        <w:spacing w:after="120"/>
        <w:jc w:val="both"/>
      </w:pPr>
      <w:r>
        <w:t xml:space="preserve">13.2. Toda comunicação relativa a Reservas deve ocorrer pela Plataforma. É proibido solicitar pagamento ou contato fora da Plataforma com o fim de contorná-la.</w:t>
      </w:r>
    </w:p>
    <w:p>
      <w:pPr>
        <w:pStyle w:val="Heading2"/>
      </w:pPr>
      <w:r>
        <w:t xml:space="preserve">14. Cancelamentos pelo Anfitrião</w:t>
      </w:r>
    </w:p>
    <w:p>
      <w:pPr>
        <w:spacing w:after="120"/>
        <w:jc w:val="both"/>
      </w:pPr>
      <w:r>
        <w:t xml:space="preserve">14.1. O Anfitrião deve honrar as Reservas confirmadas. Cancelamentos geram reembolso integral ao Locatário, multa de 0% (com 168 horas ou mais de antecedência), 10% (de 48 a menos de 168 horas) ou 25% (menos de 48 horas) do Valor Base das Ocorrências canceladas e uma Advertência. </w:t>
      </w:r>
      <w:r>
        <w:rPr>
          <w:b/>
          <w:bCs/>
        </w:rPr>
        <w:t xml:space="preserve">3 cancelamentos em 12 meses</w:t>
      </w:r>
      <w:r>
        <w:t xml:space="preserve"> levam à suspensão da conta de Anfitrião, salvo circunstâncias atenuantes comprovadas ou cancelamento por dúvida fundada sobre a habilitação do Locatário (cláusula 3.5), que não geram multa nem Advertência (Política de Cancelamento e Reembolso).</w:t>
      </w:r>
    </w:p>
    <w:p>
      <w:pPr>
        <w:pStyle w:val="Heading2"/>
      </w:pPr>
      <w:r>
        <w:t xml:space="preserve">15. Relação com os Locatários</w:t>
      </w:r>
    </w:p>
    <w:p>
      <w:pPr>
        <w:spacing w:after="120"/>
        <w:jc w:val="both"/>
      </w:pPr>
      <w:r>
        <w:t xml:space="preserve">15.1. O Anfitrião deve respeitar a autonomia profissional do Locatário, não interferir em atendimentos e não abordar Clientes Finais do Locatário para oferecer seus próprios serviços com base em informações obtidas pela Reserva.</w:t>
      </w:r>
    </w:p>
    <w:p>
      <w:pPr>
        <w:spacing w:after="120"/>
        <w:jc w:val="both"/>
      </w:pPr>
      <w:r>
        <w:t xml:space="preserve">15.2. O Anfitrião não é responsável técnico pelos atos do Locatário, mas deve comunicar à Plataforma e, quando cabível, às autoridades, situações de risco à saúde ou à segurança que presenciar.</w:t>
      </w:r>
    </w:p>
    <w:p>
      <w:pPr>
        <w:pStyle w:val="Heading2"/>
      </w:pPr>
      <w:r>
        <w:t xml:space="preserve">16. Taxa de Serviço e repasse</w:t>
      </w:r>
    </w:p>
    <w:p>
      <w:pPr>
        <w:spacing w:after="120"/>
        <w:jc w:val="both"/>
      </w:pPr>
      <w:r>
        <w:t xml:space="preserve">16.1. Do valor pago pelo Locatário (Valor Base mais Taxa de Limpeza) é descontada a Taxa de Serviço do Anfitrião de </w:t>
      </w:r>
      <w:r>
        <w:rPr>
          <w:b/>
          <w:bCs/>
        </w:rPr>
        <w:t xml:space="preserve">5%</w:t>
      </w:r>
      <w:r>
        <w:t xml:space="preserve">. O repasse é liberado </w:t>
      </w:r>
      <w:r>
        <w:rPr>
          <w:b/>
          <w:bCs/>
        </w:rPr>
        <w:t xml:space="preserve">24 horas após o início</w:t>
      </w:r>
      <w:r>
        <w:t xml:space="preserve"> da primeira Ocorrência, conforme o documento Pagamentos Internacionais.</w:t>
      </w:r>
    </w:p>
    <w:p>
      <w:r>
        <w:br w:type="page"/>
      </w:r>
    </w:p>
    <w:p>
      <w:pPr>
        <w:pStyle w:val="Heading1"/>
      </w:pPr>
      <w:r>
        <w:t xml:space="preserve">Normas de Conduta e Respeito aos Espaços</w:t>
      </w:r>
    </w:p>
    <w:p>
      <w:pPr>
        <w:spacing w:after="120"/>
        <w:jc w:val="both"/>
      </w:pPr>
      <w:r>
        <w:t xml:space="preserve">Versão 2026-09-27 · Vigência a partir de 27/09/2026</w:t>
      </w:r>
    </w:p>
    <w:p>
      <w:pPr>
        <w:pStyle w:val="Heading2"/>
      </w:pPr>
      <w:r>
        <w:t xml:space="preserve">1. Objeto</w:t>
      </w:r>
    </w:p>
    <w:p>
      <w:pPr>
        <w:spacing w:after="120"/>
        <w:jc w:val="both"/>
      </w:pPr>
      <w:r>
        <w:t xml:space="preserve">1.1. Este documento integra os Termos de Uso e estabelece as normas de conduta que Locatários, seus assistentes, Clientes Finais e visitantes devem observar nos Espaços, bem como deveres de respeito recíproco entre Anfitriões e Locatários.</w:t>
      </w:r>
    </w:p>
    <w:p>
      <w:pPr>
        <w:spacing w:after="120"/>
        <w:jc w:val="both"/>
      </w:pPr>
      <w:r>
        <w:t xml:space="preserve">1.2. Aplicam-se, cumulativamente: (a) estas normas; (b) as </w:t>
      </w:r>
      <w:r>
        <w:rPr>
          <w:b/>
          <w:bCs/>
        </w:rPr>
        <w:t xml:space="preserve">normas internas do Espaço</w:t>
      </w:r>
      <w:r>
        <w:t xml:space="preserve"> publicadas pelo Anfitrião no Anúncio; (c) as </w:t>
      </w:r>
      <w:r>
        <w:rPr>
          <w:b/>
          <w:bCs/>
        </w:rPr>
        <w:t xml:space="preserve">normas do condomínio ou edifício</w:t>
      </w:r>
      <w:r>
        <w:t xml:space="preserve"> informadas no Anúncio; (d) a legislação e as normas profissionais e sanitárias aplicáveis. O Locatário declara conhecê-las e aceitá-las ao confirmar a Reserva.</w:t>
      </w:r>
    </w:p>
    <w:p>
      <w:pPr>
        <w:spacing w:after="120"/>
        <w:jc w:val="both"/>
      </w:pPr>
      <w:r>
        <w:t xml:space="preserve">1.3. O descumprimento sujeita o infrator às medidas previstas em Penalidades e Medidas.</w:t>
      </w:r>
    </w:p>
    <w:p>
      <w:pPr>
        <w:pStyle w:val="Heading2"/>
      </w:pPr>
      <w:r>
        <w:t xml:space="preserve">2. Princípios gerais</w:t>
      </w:r>
    </w:p>
    <w:p>
      <w:pPr>
        <w:spacing w:after="120"/>
        <w:jc w:val="both"/>
      </w:pPr>
      <w:r>
        <w:t xml:space="preserve">2.1. O Espaço é local de trabalho de outras pessoas. O Locatário deve usá-lo com o mesmo cuidado que teria com o próprio estabelecimento, deixando-o </w:t>
      </w:r>
      <w:r>
        <w:rPr>
          <w:b/>
          <w:bCs/>
        </w:rPr>
        <w:t xml:space="preserve">no estado em que o recebeu</w:t>
      </w:r>
      <w:r>
        <w:t xml:space="preserve">, pronto para o próximo profissional.</w:t>
      </w:r>
    </w:p>
    <w:p>
      <w:pPr>
        <w:spacing w:after="120"/>
        <w:jc w:val="both"/>
      </w:pPr>
      <w:r>
        <w:t xml:space="preserve">2.2. Devem ser respeitados os horários da Reserva, a capacidade, a atividade declarada e as instruções do Anfitrião.</w:t>
      </w:r>
    </w:p>
    <w:p>
      <w:pPr>
        <w:spacing w:after="120"/>
        <w:jc w:val="both"/>
      </w:pPr>
      <w:r>
        <w:t xml:space="preserve">2.3. </w:t>
      </w:r>
      <w:r>
        <w:rPr>
          <w:b/>
          <w:bCs/>
        </w:rPr>
        <w:t xml:space="preserve">Uso dentro da lei.</w:t>
      </w:r>
      <w:r>
        <w:t xml:space="preserve"> O Espaço só pode ser usado para atividades lícitas, exercidas dentro dos limites da legislação (civil, penal, sanitária, ambiental, trabalhista, urbanística e condominial), das normas do órgão profissional competente e da atividade declarada na Reserva. É proibido usar o Espaço, direta ou indiretamente, para qualquer ato ilícito.</w:t>
      </w:r>
    </w:p>
    <w:p>
      <w:pPr>
        <w:pStyle w:val="Heading2"/>
      </w:pPr>
      <w:r>
        <w:t xml:space="preserve">3. Ordem, limpeza e conservação</w:t>
      </w:r>
    </w:p>
    <w:p>
      <w:pPr>
        <w:spacing w:after="120"/>
        <w:jc w:val="both"/>
      </w:pPr>
      <w:r>
        <w:t xml:space="preserve">3.1. O Locatário deve: manter o Espaço organizado; não deslocar mobiliário fixo ou equipamentos sem autorização; recolocar os itens em seus lugares; remover o próprio lixo ou descartá-lo nos recipientes indicados; e comunicar imediatamente qualquer dano, falha ou acidente.</w:t>
      </w:r>
    </w:p>
    <w:p>
      <w:pPr>
        <w:spacing w:after="120"/>
        <w:jc w:val="both"/>
      </w:pPr>
      <w:r>
        <w:t xml:space="preserve">3.2. É proibido: colar, pregar ou fixar objetos nas paredes; alterar configurações de rede, climatização ou equipamentos além do uso normal; retirar do Espaço qualquer bem do Anfitrião.</w:t>
      </w:r>
    </w:p>
    <w:p>
      <w:pPr>
        <w:spacing w:after="120"/>
        <w:jc w:val="both"/>
      </w:pPr>
      <w:r>
        <w:t xml:space="preserve">3.3. </w:t>
      </w:r>
      <w:r>
        <w:rPr>
          <w:b/>
          <w:bCs/>
        </w:rPr>
        <w:t xml:space="preserve">Fotos de check-in e check-out.</w:t>
      </w:r>
      <w:r>
        <w:t xml:space="preserve"> Recomenda-se fortemente que o Locatário registre, pela Plataforma, fotos com data e hora na chegada e na saída. Essas fotos são a principal prova em caso de divergência sobre o estado do Espaço.</w:t>
      </w:r>
    </w:p>
    <w:p>
      <w:pPr>
        <w:pStyle w:val="Heading2"/>
      </w:pPr>
      <w:r>
        <w:t xml:space="preserve">4. Silêncio e som</w:t>
      </w:r>
    </w:p>
    <w:p>
      <w:pPr>
        <w:spacing w:after="120"/>
        <w:jc w:val="both"/>
      </w:pPr>
      <w:r>
        <w:t xml:space="preserve">4.1. O Locatário deve respeitar os limites de ruído do edifício e da legislação municipal, bem como horários de silêncio. Equipamentos de som, música e microfones só podem ser usados se previstos no Anúncio ou autorizados pelo Anfitrião, em volume compatível.</w:t>
      </w:r>
    </w:p>
    <w:p>
      <w:pPr>
        <w:spacing w:after="120"/>
        <w:jc w:val="both"/>
      </w:pPr>
      <w:r>
        <w:t xml:space="preserve">4.2. Em Espaços de atendimento de saúde e psicologia, o silêncio e a discrição nas áreas comuns são essenciais para a privacidade dos pacientes de outros profissionais.</w:t>
      </w:r>
    </w:p>
    <w:p>
      <w:pPr>
        <w:pStyle w:val="Heading2"/>
      </w:pPr>
      <w:r>
        <w:t xml:space="preserve">5. Normas do condomínio ou edifício</w:t>
      </w:r>
    </w:p>
    <w:p>
      <w:pPr>
        <w:spacing w:after="120"/>
        <w:jc w:val="both"/>
      </w:pPr>
      <w:r>
        <w:t xml:space="preserve">5.1. O Locatário deve seguir as regras de portaria, identificação, uso de elevadores, estacionamento, horários de funcionamento, circulação em áreas comuns e cadastro de visitantes do edifício.</w:t>
      </w:r>
    </w:p>
    <w:p>
      <w:pPr>
        <w:spacing w:after="120"/>
        <w:jc w:val="both"/>
      </w:pPr>
      <w:r>
        <w:t xml:space="preserve">5.2. Multas aplicadas pelo condomínio ou pela administração do edifício em razão de conduta do Locatário, de seus assistentes ou Clientes Finais são repassadas ao Locatário, conforme Penalidades e Medidas.</w:t>
      </w:r>
    </w:p>
    <w:p>
      <w:pPr>
        <w:pStyle w:val="Heading2"/>
      </w:pPr>
      <w:r>
        <w:t xml:space="preserve">6. Biossegurança em Espaços de saúde</w:t>
      </w:r>
    </w:p>
    <w:p>
      <w:pPr>
        <w:spacing w:after="120"/>
        <w:jc w:val="both"/>
      </w:pPr>
      <w:r>
        <w:t xml:space="preserve">6.1. Nos Espaços das categorias odontologia, medicina, psicologia, fisioterapia, estética, nutrição e veterinária, o Locatário deve possuir habilitação válida e ativa para a atividade (cláusula 17), é o </w:t>
      </w:r>
      <w:r>
        <w:rPr>
          <w:b/>
          <w:bCs/>
        </w:rPr>
        <w:t xml:space="preserve">responsável técnico por seus atos</w:t>
      </w:r>
      <w:r>
        <w:t xml:space="preserve"> e pelos procedimentos que realiza, e deve cumprir as normas sanitárias e de seu conselho profissional, em especial:</w:t>
      </w:r>
    </w:p>
    <w:p>
      <w:pPr>
        <w:pStyle w:val="ListParagraph"/>
        <w:numPr>
          <w:ilvl w:val="0"/>
          <w:numId w:val="2"/>
        </w:numPr>
        <w:spacing w:after="60"/>
      </w:pPr>
      <w:r>
        <w:t xml:space="preserve">(a) </w:t>
      </w:r>
      <w:r>
        <w:rPr>
          <w:b/>
          <w:bCs/>
        </w:rPr>
        <w:t xml:space="preserve">Equipamentos de proteção individual (EPIs)</w:t>
      </w:r>
      <w:r>
        <w:t xml:space="preserve">: utilizar e fornecer aos seus assistentes os EPIs exigidos para cada procedimento;</w:t>
      </w:r>
    </w:p>
    <w:p>
      <w:pPr>
        <w:pStyle w:val="ListParagraph"/>
        <w:numPr>
          <w:ilvl w:val="0"/>
          <w:numId w:val="2"/>
        </w:numPr>
        <w:spacing w:after="60"/>
      </w:pPr>
      <w:r>
        <w:t xml:space="preserve">(b) </w:t>
      </w:r>
      <w:r>
        <w:rPr>
          <w:b/>
          <w:bCs/>
        </w:rPr>
        <w:t xml:space="preserve">Esterilização</w:t>
      </w:r>
      <w:r>
        <w:t xml:space="preserve">: utilizar instrumental próprio devidamente esterilizado, ou utilizar a autoclave do Espaço somente se autorizado e conforme o protocolo do Anfitrião, com registro dos ciclos quando exigido;</w:t>
      </w:r>
    </w:p>
    <w:p>
      <w:pPr>
        <w:pStyle w:val="ListParagraph"/>
        <w:numPr>
          <w:ilvl w:val="0"/>
          <w:numId w:val="2"/>
        </w:numPr>
        <w:spacing w:after="60"/>
      </w:pPr>
      <w:r>
        <w:t xml:space="preserve">(c) </w:t>
      </w:r>
      <w:r>
        <w:rPr>
          <w:b/>
          <w:bCs/>
        </w:rPr>
        <w:t xml:space="preserve">Desinfecção</w:t>
      </w:r>
      <w:r>
        <w:t xml:space="preserve">: realizar a desinfecção de superfícies, cadeiras, macas e equipamentos após cada atendimento e ao final da Ocorrência, conforme protocolo sanitário;</w:t>
      </w:r>
    </w:p>
    <w:p>
      <w:pPr>
        <w:pStyle w:val="ListParagraph"/>
        <w:numPr>
          <w:ilvl w:val="0"/>
          <w:numId w:val="2"/>
        </w:numPr>
        <w:spacing w:after="60"/>
      </w:pPr>
      <w:r>
        <w:t xml:space="preserve">(d) </w:t>
      </w:r>
      <w:r>
        <w:rPr>
          <w:b/>
          <w:bCs/>
        </w:rPr>
        <w:t xml:space="preserve">Resíduos de serviços de saúde</w:t>
      </w:r>
      <w:r>
        <w:t xml:space="preserve">: segregar e descartar resíduos infectantes, perfurocortantes, químicos e comuns nos recipientes próprios disponibilizados pelo Anfitrião, nos termos das normas sanitárias locais (no Brasil, RDC ANVISA nº 222/2018 e normas correlatas), sendo vedado deixar resíduos fora dos coletores ou levá-los para descarte comum;</w:t>
      </w:r>
    </w:p>
    <w:p>
      <w:pPr>
        <w:pStyle w:val="ListParagraph"/>
        <w:numPr>
          <w:ilvl w:val="0"/>
          <w:numId w:val="2"/>
        </w:numPr>
        <w:spacing w:after="60"/>
      </w:pPr>
      <w:r>
        <w:t xml:space="preserve">(e) </w:t>
      </w:r>
      <w:r>
        <w:rPr>
          <w:b/>
          <w:bCs/>
        </w:rPr>
        <w:t xml:space="preserve">Medicamentos e materiais controlados</w:t>
      </w:r>
      <w:r>
        <w:t xml:space="preserve">: não armazenar no Espaço e observar a legislação específica;</w:t>
      </w:r>
    </w:p>
    <w:p>
      <w:pPr>
        <w:pStyle w:val="ListParagraph"/>
        <w:numPr>
          <w:ilvl w:val="0"/>
          <w:numId w:val="2"/>
        </w:numPr>
        <w:spacing w:after="60"/>
      </w:pPr>
      <w:r>
        <w:t xml:space="preserve">(f) </w:t>
      </w:r>
      <w:r>
        <w:rPr>
          <w:b/>
          <w:bCs/>
        </w:rPr>
        <w:t xml:space="preserve">Radiação</w:t>
      </w:r>
      <w:r>
        <w:t xml:space="preserve">: operar equipamentos de raios X somente com habilitação e observando as normas de proteção radiológica (no Brasil, RDC ANVISA 611/2022).</w:t>
      </w:r>
    </w:p>
    <w:p>
      <w:pPr>
        <w:spacing w:after="120"/>
        <w:jc w:val="both"/>
      </w:pPr>
      <w:r>
        <w:t xml:space="preserve">6.2. O Anfitrião deve disponibilizar as condições estruturais anunciadas (coletores de resíduos, pia, autoclave, quando anunciada), mas não responde pelos atos técnicos do Locatário.</w:t>
      </w:r>
    </w:p>
    <w:p>
      <w:pPr>
        <w:spacing w:after="120"/>
        <w:jc w:val="both"/>
      </w:pPr>
      <w:r>
        <w:t xml:space="preserve">6.3. Incidentes com risco biológico (acidente com perfurocortante, derramamento, exposição) devem ser comunicados imediatamente ao Anfitrião e tratados conforme protocolo sanitário.</w:t>
      </w:r>
    </w:p>
    <w:p>
      <w:pPr>
        <w:pStyle w:val="Heading2"/>
      </w:pPr>
      <w:r>
        <w:t xml:space="preserve">7. Sigilo profissional e privacidade</w:t>
      </w:r>
    </w:p>
    <w:p>
      <w:pPr>
        <w:spacing w:after="120"/>
        <w:jc w:val="both"/>
      </w:pPr>
      <w:r>
        <w:t xml:space="preserve">7.1. O Locatário deve preservar o </w:t>
      </w:r>
      <w:r>
        <w:rPr>
          <w:b/>
          <w:bCs/>
        </w:rPr>
        <w:t xml:space="preserve">sigilo profissional</w:t>
      </w:r>
      <w:r>
        <w:t xml:space="preserve"> e a privacidade de seus pacientes e clientes, conduzindo atendimentos de forma a não serem ouvidos ou vistos por terceiros, e não deixando no Espaço documentos, prontuários, receitas, exames ou dispositivos com dados pessoais.</w:t>
      </w:r>
    </w:p>
    <w:p>
      <w:pPr>
        <w:spacing w:after="120"/>
        <w:jc w:val="both"/>
      </w:pPr>
      <w:r>
        <w:t xml:space="preserve">7.2. É </w:t>
      </w:r>
      <w:r>
        <w:rPr>
          <w:b/>
          <w:bCs/>
        </w:rPr>
        <w:t xml:space="preserve">proibido acessar, consultar, copiar ou fotografar prontuários, arquivos, documentos, computadores ou sistemas do Anfitrião</w:t>
      </w:r>
      <w:r>
        <w:t xml:space="preserve"> ou de outros profissionais que utilizem o Espaço, ainda que estejam acessíveis. Armários, gavetas e computadores não indicados como disponíveis no Anúncio não podem ser abertos ou utilizados.</w:t>
      </w:r>
    </w:p>
    <w:p>
      <w:pPr>
        <w:spacing w:after="120"/>
        <w:jc w:val="both"/>
      </w:pPr>
      <w:r>
        <w:t xml:space="preserve">7.3. O Locatário que utilizar computador ou rede do Espaço deve encerrar suas sessões e não salvar dados de pacientes ou clientes em equipamentos do Anfitrião.</w:t>
      </w:r>
    </w:p>
    <w:p>
      <w:pPr>
        <w:spacing w:after="120"/>
        <w:jc w:val="both"/>
      </w:pPr>
      <w:r>
        <w:t xml:space="preserve">7.4. O Locatário é o controlador dos dados pessoais de seus Clientes Finais e responde pelo seu tratamento conforme a legislação de proteção de dados aplicável.</w:t>
      </w:r>
    </w:p>
    <w:p>
      <w:pPr>
        <w:pStyle w:val="Heading2"/>
      </w:pPr>
      <w:r>
        <w:t xml:space="preserve">8. Uso de equipamentos</w:t>
      </w:r>
    </w:p>
    <w:p>
      <w:pPr>
        <w:spacing w:after="120"/>
        <w:jc w:val="both"/>
      </w:pPr>
      <w:r>
        <w:t xml:space="preserve">8.1. Os equipamentos descritos no Anúncio só podem ser operados por pessoa </w:t>
      </w:r>
      <w:r>
        <w:rPr>
          <w:b/>
          <w:bCs/>
        </w:rPr>
        <w:t xml:space="preserve">legalmente habilitada e tecnicamente capacitada</w:t>
      </w:r>
      <w:r>
        <w:t xml:space="preserve">, e conforme as instruções do fabricante e do Anfitrião.</w:t>
      </w:r>
    </w:p>
    <w:p>
      <w:pPr>
        <w:spacing w:after="120"/>
        <w:jc w:val="both"/>
      </w:pPr>
      <w:r>
        <w:t xml:space="preserve">8.2. Ao detectar mau funcionamento, o Locatário deve interromper o uso e comunicar o Anfitrião. É proibido tentar reparos, abrir equipamentos ou alterar calibrações.</w:t>
      </w:r>
    </w:p>
    <w:p>
      <w:pPr>
        <w:spacing w:after="120"/>
        <w:jc w:val="both"/>
      </w:pPr>
      <w:r>
        <w:t xml:space="preserve">8.3. Insumos consumíveis só podem ser utilizados se o Anúncio indicar que estão incluídos.</w:t>
      </w:r>
    </w:p>
    <w:p>
      <w:pPr>
        <w:pStyle w:val="Heading2"/>
      </w:pPr>
      <w:r>
        <w:t xml:space="preserve">9. Respeito e antidiscriminação</w:t>
      </w:r>
    </w:p>
    <w:p>
      <w:pPr>
        <w:spacing w:after="120"/>
        <w:jc w:val="both"/>
      </w:pPr>
      <w:r>
        <w:t xml:space="preserve">9.1. Anfitriões e Locatários devem tratar-se, bem como a Clientes Finais, funcionários do edifício e demais pessoas, com respeito e cortesia.</w:t>
      </w:r>
    </w:p>
    <w:p>
      <w:pPr>
        <w:spacing w:after="120"/>
        <w:jc w:val="both"/>
      </w:pPr>
      <w:r>
        <w:t xml:space="preserve">9.2. É proibida qualquer forma de discriminação por raça, cor, etnia, origem, nacionalidade, religião, deficiência, sexo, orientação sexual, identidade de gênero, idade, estado civil, gravidez ou outra característica protegida por lei, seja na aceitação de Reservas, no atendimento de Clientes Finais ou na convivência no Espaço.</w:t>
      </w:r>
    </w:p>
    <w:p>
      <w:pPr>
        <w:spacing w:after="120"/>
        <w:jc w:val="both"/>
      </w:pPr>
      <w:r>
        <w:t xml:space="preserve">9.3. É proibido assédio moral ou sexual, intimidação, ameaças ou violência. A violação é falta grave e leva à exclusão.</w:t>
      </w:r>
    </w:p>
    <w:p>
      <w:pPr>
        <w:spacing w:after="120"/>
        <w:jc w:val="both"/>
      </w:pPr>
      <w:r>
        <w:t xml:space="preserve">9.4. </w:t>
      </w:r>
      <w:r>
        <w:rPr>
          <w:b/>
          <w:bCs/>
        </w:rPr>
        <w:t xml:space="preserve">São proibidas agressões físicas ou verbais</w:t>
      </w:r>
      <w:r>
        <w:t xml:space="preserve"> — incluindo empurrões, xingamentos, ofensas, humilhações, gritos, ameaças e intimidação — contra funcionários do Anfitrião ou do edifício, Clientes Finais, outros Locatários, visitantes e quaisquer pessoas que estejam no ambiente. A violação é falta grave: a conta é excluída de imediato, a Plataforma colabora com as autoridades e o infrator responde civil e penalmente.</w:t>
      </w:r>
    </w:p>
    <w:p>
      <w:pPr>
        <w:pStyle w:val="Heading2"/>
      </w:pPr>
      <w:r>
        <w:t xml:space="preserve">10. Segurança</w:t>
      </w:r>
    </w:p>
    <w:p>
      <w:pPr>
        <w:spacing w:after="120"/>
        <w:jc w:val="both"/>
      </w:pPr>
      <w:r>
        <w:t xml:space="preserve">10.1. O Locatário deve conhecer as rotas de fuga, a localização de extintores e as instruções de emergência informadas pelo Anfitrião; não obstruir saídas; não sobrecarregar instalações elétricas; e não utilizar equipamentos que gerem risco de incêndio sem autorização.</w:t>
      </w:r>
    </w:p>
    <w:p>
      <w:pPr>
        <w:spacing w:after="120"/>
        <w:jc w:val="both"/>
      </w:pPr>
      <w:r>
        <w:t xml:space="preserve">10.2. É expressamente proibido no Espaço e nas áreas do edifício:</w:t>
      </w:r>
    </w:p>
    <w:p>
      <w:pPr>
        <w:spacing w:after="120"/>
        <w:jc w:val="both"/>
      </w:pPr>
      <w:r>
        <w:t xml:space="preserve">(a) </w:t>
      </w:r>
      <w:r>
        <w:rPr>
          <w:b/>
          <w:bCs/>
        </w:rPr>
        <w:t xml:space="preserve">portar, guardar ou manusear armas</w:t>
      </w:r>
      <w:r>
        <w:t xml:space="preserve"> de fogo, armas brancas, simulacros </w:t>
      </w:r>
      <w:r>
        <w:rPr>
          <w:b/>
          <w:bCs/>
        </w:rPr>
        <w:t xml:space="preserve">ou munições</w:t>
      </w:r>
      <w:r>
        <w:t xml:space="preserve">, ainda que o portador tenha porte legal, salvo agentes de segurança pública em serviço;</w:t>
      </w:r>
    </w:p>
    <w:p>
      <w:pPr>
        <w:spacing w:after="120"/>
        <w:jc w:val="both"/>
      </w:pPr>
      <w:r>
        <w:t xml:space="preserve">(b) </w:t>
      </w:r>
      <w:r>
        <w:rPr>
          <w:b/>
          <w:bCs/>
        </w:rPr>
        <w:t xml:space="preserve">fabricar, guardar, transportar ou manusear explosivos</w:t>
      </w:r>
      <w:r>
        <w:t xml:space="preserve">, fogos de artifício, gases ou materiais inflamáveis;</w:t>
      </w:r>
    </w:p>
    <w:p>
      <w:pPr>
        <w:spacing w:after="120"/>
        <w:jc w:val="both"/>
      </w:pPr>
      <w:r>
        <w:t xml:space="preserve">(c) </w:t>
      </w:r>
      <w:r>
        <w:rPr>
          <w:b/>
          <w:bCs/>
        </w:rPr>
        <w:t xml:space="preserve">manusear produtos químicos</w:t>
      </w:r>
      <w:r>
        <w:t xml:space="preserve"> perigosos, tóxicos, corrosivos, radioativos ou controlados, </w:t>
      </w:r>
      <w:r>
        <w:rPr>
          <w:b/>
          <w:bCs/>
        </w:rPr>
        <w:t xml:space="preserve">salvo</w:t>
      </w:r>
      <w:r>
        <w:t xml:space="preserve"> os de uso regular da atividade profissional declarada (por exemplo, materiais odontológicos e desinfetantes), nas quantidades e condições permitidas pela legislação sanitária, pelo fabricante e pelo Anfitrião;</w:t>
      </w:r>
    </w:p>
    <w:p>
      <w:pPr>
        <w:spacing w:after="120"/>
        <w:jc w:val="both"/>
      </w:pPr>
      <w:r>
        <w:t xml:space="preserve">(d) usar, guardar ou fornecer substâncias ilícitas; e</w:t>
      </w:r>
    </w:p>
    <w:p>
      <w:pPr>
        <w:spacing w:after="120"/>
        <w:jc w:val="both"/>
      </w:pPr>
      <w:r>
        <w:t xml:space="preserve">(e) fumar (inclusive cigarros eletrônicos), salvo em área expressamente designada.</w:t>
      </w:r>
    </w:p>
    <w:p>
      <w:pPr>
        <w:spacing w:after="120"/>
        <w:jc w:val="both"/>
      </w:pPr>
      <w:r>
        <w:t xml:space="preserve">10.2.1. A violação das alíneas (a), (b) ou (c) é falta gravíssima: o Anfitrião pode encerrar a Ocorrência imediatamente, sem reembolso, a conta é excluída e a Plataforma comunica o fato às autoridades.</w:t>
      </w:r>
    </w:p>
    <w:p>
      <w:pPr>
        <w:spacing w:after="120"/>
        <w:jc w:val="both"/>
      </w:pPr>
      <w:r>
        <w:t xml:space="preserve">10.3. O Locatário deve trancar o Espaço ao sair, conforme as instruções, e não compartilhar códigos de acesso.</w:t>
      </w:r>
    </w:p>
    <w:p>
      <w:pPr>
        <w:pStyle w:val="Heading2"/>
      </w:pPr>
      <w:r>
        <w:t xml:space="preserve">11. Acessibilidade</w:t>
      </w:r>
    </w:p>
    <w:p>
      <w:pPr>
        <w:spacing w:after="120"/>
        <w:jc w:val="both"/>
      </w:pPr>
      <w:r>
        <w:t xml:space="preserve">11.1. O Anfitrião deve descrever com precisão as condições de acessibilidade (rampas, elevador, banheiro acessível, largura de portas). O Locatário deve verificar essas condições antes de reservar quando atender pessoas com deficiência ou mobilidade reduzida.</w:t>
      </w:r>
    </w:p>
    <w:p>
      <w:pPr>
        <w:spacing w:after="120"/>
        <w:jc w:val="both"/>
      </w:pPr>
      <w:r>
        <w:t xml:space="preserve">11.2. É vedado obstruir rotas acessíveis ou vagas reservadas. A recusa de atendimento a pessoa com deficiência em razão da deficiência é discriminação.</w:t>
      </w:r>
    </w:p>
    <w:p>
      <w:pPr>
        <w:pStyle w:val="Heading2"/>
      </w:pPr>
      <w:r>
        <w:t xml:space="preserve">12. Animais</w:t>
      </w:r>
    </w:p>
    <w:p>
      <w:pPr>
        <w:spacing w:after="120"/>
        <w:jc w:val="both"/>
      </w:pPr>
      <w:r>
        <w:t xml:space="preserve">12.1. Animais somente são permitidos em Espaços da categoria veterinária, quando autorizados pelo Anúncio, ou no caso de </w:t>
      </w:r>
      <w:r>
        <w:rPr>
          <w:b/>
          <w:bCs/>
        </w:rPr>
        <w:t xml:space="preserve">cães-guia e animais de assistência</w:t>
      </w:r>
      <w:r>
        <w:t xml:space="preserve">, cuja presença é assegurada nos termos da lei aplicável.</w:t>
      </w:r>
    </w:p>
    <w:p>
      <w:pPr>
        <w:pStyle w:val="Heading2"/>
      </w:pPr>
      <w:r>
        <w:t xml:space="preserve">13. Alimentação</w:t>
      </w:r>
    </w:p>
    <w:p>
      <w:pPr>
        <w:spacing w:after="120"/>
        <w:jc w:val="both"/>
      </w:pPr>
      <w:r>
        <w:t xml:space="preserve">13.1. O consumo de alimentos e bebidas deve limitar-se às áreas indicadas pelo Anfitrião. Em salas de procedimento de saúde e laboratórios, o consumo é proibido. Cozinhas profissionais seguem as normas sanitárias de manipulação de alimentos.</w:t>
      </w:r>
    </w:p>
    <w:p>
      <w:pPr>
        <w:pStyle w:val="Heading2"/>
      </w:pPr>
      <w:r>
        <w:t xml:space="preserve">14. Visitantes e crianças</w:t>
      </w:r>
    </w:p>
    <w:p>
      <w:pPr>
        <w:spacing w:after="120"/>
        <w:jc w:val="both"/>
      </w:pPr>
      <w:r>
        <w:t xml:space="preserve">14.1. Somente podem ingressar no Espaço as pessoas incluídas no número declarado na Reserva. Visitantes que não participem da atividade não são permitidos.</w:t>
      </w:r>
    </w:p>
    <w:p>
      <w:pPr>
        <w:spacing w:after="120"/>
        <w:jc w:val="both"/>
      </w:pPr>
      <w:r>
        <w:t xml:space="preserve">14.2. Crianças e adolescentes podem estar presentes apenas como Clientes Finais, alunos ou participantes da atividade declarada, ou como acompanhantes de Clientes Finais, sob responsabilidade do adulto responsável e do Locatário, respeitadas as normas de proteção à infância.</w:t>
      </w:r>
    </w:p>
    <w:p>
      <w:pPr>
        <w:pStyle w:val="Heading2"/>
      </w:pPr>
      <w:r>
        <w:t xml:space="preserve">15. Emergências</w:t>
      </w:r>
    </w:p>
    <w:p>
      <w:pPr>
        <w:spacing w:after="120"/>
        <w:jc w:val="both"/>
      </w:pPr>
      <w:r>
        <w:t xml:space="preserve">15.1. Em emergência médica, incêndio ou outro risco, a prioridade é a segurança das pessoas: acione os serviços de emergência locais (no Brasil, SAMU 192, Bombeiros 193, Polícia 190), evacue se necessário e, em seguida, comunique o Anfitrião e a Plataforma.</w:t>
      </w:r>
    </w:p>
    <w:p>
      <w:pPr>
        <w:spacing w:after="120"/>
        <w:jc w:val="both"/>
      </w:pPr>
      <w:r>
        <w:t xml:space="preserve">15.2. O Locatário de Espaços de saúde deve estar preparado para prestar suporte básico de vida nos limites de sua habilitação.</w:t>
      </w:r>
    </w:p>
    <w:p>
      <w:pPr>
        <w:pStyle w:val="Heading2"/>
      </w:pPr>
      <w:r>
        <w:t xml:space="preserve">16. Deveres do Anfitrião perante o Locatário</w:t>
      </w:r>
    </w:p>
    <w:p>
      <w:pPr>
        <w:spacing w:after="120"/>
        <w:jc w:val="both"/>
      </w:pPr>
      <w:r>
        <w:t xml:space="preserve">16.1. O Anfitrião deve respeitar a privacidade do Locatário e de seus Clientes Finais durante a Ocorrência, não ingressando no Espaço sem aviso prévio, salvo emergência, e não interferindo nos atendimentos.</w:t>
      </w:r>
    </w:p>
    <w:p>
      <w:pPr>
        <w:spacing w:after="120"/>
        <w:jc w:val="both"/>
      </w:pPr>
      <w:r>
        <w:t xml:space="preserve">16.2. O Anfitrião não pode instalar câmeras em áreas de atendimento, consultórios, salas de terapia, banheiros ou vestiários. Câmeras em áreas comuns devem ser informadas no Anúncio e sinalizadas.</w:t>
      </w:r>
    </w:p>
    <w:p>
      <w:pPr>
        <w:pStyle w:val="Heading2"/>
      </w:pPr>
      <w:r>
        <w:t xml:space="preserve">17. Exercício legal da profissão</w:t>
      </w:r>
    </w:p>
    <w:p>
      <w:pPr>
        <w:spacing w:after="120"/>
        <w:jc w:val="both"/>
      </w:pPr>
      <w:r>
        <w:t xml:space="preserve">17.1. Em Espaços destinados a atividades regulamentadas (saúde, advocacia e outras), somente pode atuar o profissional com </w:t>
      </w:r>
      <w:r>
        <w:rPr>
          <w:b/>
          <w:bCs/>
        </w:rPr>
        <w:t xml:space="preserve">habilitação válida e ativa</w:t>
      </w:r>
      <w:r>
        <w:t xml:space="preserve"> no órgão competente do país do Espaço, dentro dos limites de sua habilitação. Assistentes e auxiliares também devem estar habilitados quando a lei exigir.</w:t>
      </w:r>
    </w:p>
    <w:p>
      <w:pPr>
        <w:spacing w:after="120"/>
        <w:jc w:val="both"/>
      </w:pPr>
      <w:r>
        <w:t xml:space="preserve">17.2. A indicação de registro verificado resulta de </w:t>
      </w:r>
      <w:r>
        <w:rPr>
          <w:b/>
          <w:bCs/>
        </w:rPr>
        <w:t xml:space="preserve">pré-triagem automatizada</w:t>
      </w:r>
      <w:r>
        <w:t xml:space="preserve"> pela Plataforma, com apoio de agente de inteligência artificial, e </w:t>
      </w:r>
      <w:r>
        <w:rPr>
          <w:b/>
          <w:bCs/>
        </w:rPr>
        <w:t xml:space="preserve">não é garantia</w:t>
      </w:r>
      <w:r>
        <w:t xml:space="preserve"> de validade do registro. O Anfitrião confirma a habilitação antes de cada Reserva de Espaço regulado e pode recusar ou cancelar a Reserva, sem penalidade, em caso de dúvida fundada (Regras de Reserva e Uso, cláusula 8, e Obrigações do Anfitrião, cláusula 3).</w:t>
      </w:r>
    </w:p>
    <w:p>
      <w:pPr>
        <w:spacing w:after="120"/>
        <w:jc w:val="both"/>
      </w:pPr>
      <w:r>
        <w:t xml:space="preserve">17.3. O Locatário deve apresentar ao Anfitrião, pela Plataforma ou no local, documento que comprove sua habilitação sempre que solicitado.</w:t>
      </w:r>
    </w:p>
    <w:p>
      <w:pPr>
        <w:spacing w:after="120"/>
        <w:jc w:val="both"/>
      </w:pPr>
      <w:r>
        <w:t xml:space="preserve">17.4. O exercício de profissão sem habilitação, fora de seus limites ou com registro de terceiro é falta gravíssima. O Locatário responde integralmente, civil, administrativa e penalmente (no Brasil, por exemplo, Código Penal, art. 282, e Lei das Contravenções Penais, art. 47; nos demais países, as normas indicadas em Regras por País). A Plataforma </w:t>
      </w:r>
      <w:r>
        <w:rPr>
          <w:b/>
          <w:bCs/>
        </w:rPr>
        <w:t xml:space="preserve">exclui definitivamente</w:t>
      </w:r>
      <w:r>
        <w:t xml:space="preserve"> a conta e </w:t>
      </w:r>
      <w:r>
        <w:rPr>
          <w:b/>
          <w:bCs/>
        </w:rPr>
        <w:t xml:space="preserve">comunica o fato às autoridades</w:t>
      </w:r>
      <w:r>
        <w:t xml:space="preserve"> e ao órgão profissional competentes; o Anfitrião que o permitir conscientemente também tem a conta excluída (Penalidades e Medidas).</w:t>
      </w:r>
    </w:p>
    <w:p>
      <w:r>
        <w:br w:type="page"/>
      </w:r>
    </w:p>
    <w:p>
      <w:pPr>
        <w:pStyle w:val="Heading1"/>
      </w:pPr>
      <w:r>
        <w:t xml:space="preserve">Penalidades e Medidas</w:t>
      </w:r>
    </w:p>
    <w:p>
      <w:pPr>
        <w:spacing w:after="120"/>
        <w:jc w:val="both"/>
      </w:pPr>
      <w:r>
        <w:t xml:space="preserve">Versão 2026-09-27 · Vigência a partir de 27/09/2026</w:t>
      </w:r>
    </w:p>
    <w:p>
      <w:pPr>
        <w:pStyle w:val="Heading2"/>
      </w:pPr>
      <w:r>
        <w:t xml:space="preserve">1. Objeto e princípios</w:t>
      </w:r>
    </w:p>
    <w:p>
      <w:pPr>
        <w:spacing w:after="120"/>
        <w:jc w:val="both"/>
      </w:pPr>
      <w:r>
        <w:t xml:space="preserve">1.1. Este documento integra os Termos de Uso e estabelece as penalidades pecuniárias, as Advertências e as demais medidas aplicáveis a Locatários e Anfitriões que descumprirem os Termos, as Regras de Reserva e Uso, as Normas de Conduta e Respeito aos Espaços ou as normas internas de um Anúncio.</w:t>
      </w:r>
    </w:p>
    <w:p>
      <w:pPr>
        <w:spacing w:after="120"/>
        <w:jc w:val="both"/>
      </w:pPr>
      <w:r>
        <w:t xml:space="preserve">1.2. As penalidades observam os princípios da </w:t>
      </w:r>
      <w:r>
        <w:rPr>
          <w:b/>
          <w:bCs/>
        </w:rPr>
        <w:t xml:space="preserve">proporcionalidade, razoabilidade, contraditório e ampla defesa</w:t>
      </w:r>
      <w:r>
        <w:t xml:space="preserve">. Nenhuma cobrança é feita sem registro de Incidente, evidências e oportunidade de resposta da parte acusada, salvo a cobrança automática de atraso na saída registrada pelo check-out, que também pode ser contestada.</w:t>
      </w:r>
    </w:p>
    <w:p>
      <w:pPr>
        <w:spacing w:after="120"/>
        <w:jc w:val="both"/>
      </w:pPr>
      <w:r>
        <w:t xml:space="preserve">1.3. As penalidades têm natureza de cláusula penal compensatória e de pré-estimativa razoável de prejuízos. Não excluem a indenização de danos comprovadamente superiores quando a lei permitir, nem são cumuladas para punir duas vezes o mesmo fato.</w:t>
      </w:r>
    </w:p>
    <w:p>
      <w:pPr>
        <w:pStyle w:val="Heading2"/>
      </w:pPr>
      <w:r>
        <w:t xml:space="preserve">2. Tabela de penalidades aplicáveis ao Locatário</w:t>
      </w:r>
    </w:p>
    <w:p>
      <w:pPr>
        <w:spacing w:after="120"/>
        <w:jc w:val="both"/>
      </w:pPr>
      <w:r>
        <w:t xml:space="preserve">2.1. Os valores são calculados em relação à Reserva em que ocorreu o fato. "Valor Base" é a soma dos preços por hora ou diária das Ocorrências da Reserva, sem taxas.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shd w:fill="E6F2F1" w:color="auto" w:val="clear"/>
            <w:tcMar>
              <w:top w:type="dxa" w:w="60"/>
              <w:left w:type="dxa" w:w="100"/>
              <w:bottom w:type="dxa" w:w="60"/>
              <w:right w:type="dxa" w:w="100"/>
            </w:tcMar>
          </w:tcPr>
          <w:p>
            <w:r>
              <w:rPr>
                <w:b/>
                <w:bCs/>
                <w:sz w:val="19"/>
                <w:szCs w:val="19"/>
              </w:rPr>
              <w:t xml:space="preserve">Infração</w:t>
            </w:r>
          </w:p>
        </w:tc>
        <w:tc>
          <w:tcPr>
            <w:tcW w:type="dxa" w:w="2409"/>
            <w:shd w:fill="E6F2F1" w:color="auto" w:val="clear"/>
            <w:tcMar>
              <w:top w:type="dxa" w:w="60"/>
              <w:left w:type="dxa" w:w="100"/>
              <w:bottom w:type="dxa" w:w="60"/>
              <w:right w:type="dxa" w:w="100"/>
            </w:tcMar>
          </w:tcPr>
          <w:p>
            <w:r>
              <w:rPr>
                <w:b/>
                <w:bCs/>
                <w:sz w:val="19"/>
                <w:szCs w:val="19"/>
              </w:rPr>
              <w:t xml:space="preserve">Penalidade de referência</w:t>
            </w:r>
          </w:p>
        </w:tc>
        <w:tc>
          <w:tcPr>
            <w:tcW w:type="dxa" w:w="2409"/>
            <w:shd w:fill="E6F2F1" w:color="auto" w:val="clear"/>
            <w:tcMar>
              <w:top w:type="dxa" w:w="60"/>
              <w:left w:type="dxa" w:w="100"/>
              <w:bottom w:type="dxa" w:w="60"/>
              <w:right w:type="dxa" w:w="100"/>
            </w:tcMar>
          </w:tcPr>
          <w:p>
            <w:r>
              <w:rPr>
                <w:b/>
                <w:bCs/>
                <w:sz w:val="19"/>
                <w:szCs w:val="19"/>
              </w:rPr>
              <w:t xml:space="preserve">Advertência</w:t>
            </w:r>
          </w:p>
        </w:tc>
        <w:tc>
          <w:tcPr>
            <w:tcW w:type="dxa" w:w="2411"/>
            <w:shd w:fill="E6F2F1" w:color="auto" w:val="clear"/>
            <w:tcMar>
              <w:top w:type="dxa" w:w="60"/>
              <w:left w:type="dxa" w:w="100"/>
              <w:bottom w:type="dxa" w:w="60"/>
              <w:right w:type="dxa" w:w="100"/>
            </w:tcMar>
          </w:tcPr>
          <w:p>
            <w:r>
              <w:rPr>
                <w:b/>
                <w:bCs/>
                <w:sz w:val="19"/>
                <w:szCs w:val="19"/>
              </w:rPr>
              <w:t xml:space="preserve">Prazo para o Anfitrião reportar</w:t>
            </w:r>
          </w:p>
        </w:tc>
      </w:tr>
      <w:tr>
        <w:trPr>
          <w:tblHeader w:val="off"/>
        </w:trPr>
        <w:tc>
          <w:tcPr>
            <w:tcW w:type="dxa" w:w="2409"/>
            <w:tcMar>
              <w:top w:type="dxa" w:w="60"/>
              <w:left w:type="dxa" w:w="100"/>
              <w:bottom w:type="dxa" w:w="60"/>
              <w:right w:type="dxa" w:w="100"/>
            </w:tcMar>
          </w:tcPr>
          <w:p>
            <w:r>
              <w:rPr>
                <w:b/>
                <w:bCs/>
                <w:sz w:val="19"/>
                <w:szCs w:val="19"/>
              </w:rPr>
              <w:t xml:space="preserve">Atraso na saída</w:t>
            </w:r>
            <w:r>
              <w:rPr>
                <w:sz w:val="19"/>
                <w:szCs w:val="19"/>
              </w:rPr>
              <w:t xml:space="preserve"> (</w:t>
            </w:r>
            <w:r>
              <w:rPr>
                <w:i/>
                <w:iCs/>
                <w:sz w:val="19"/>
                <w:szCs w:val="19"/>
              </w:rPr>
              <w:t xml:space="preserve">overstay</w:t>
            </w:r>
            <w:r>
              <w:rPr>
                <w:sz w:val="19"/>
                <w:szCs w:val="19"/>
              </w:rPr>
              <w:t xml:space="preserve">)</w:t>
            </w:r>
          </w:p>
        </w:tc>
        <w:tc>
          <w:tcPr>
            <w:tcW w:type="dxa" w:w="2409"/>
            <w:tcMar>
              <w:top w:type="dxa" w:w="60"/>
              <w:left w:type="dxa" w:w="100"/>
              <w:bottom w:type="dxa" w:w="60"/>
              <w:right w:type="dxa" w:w="100"/>
            </w:tcMar>
          </w:tcPr>
          <w:p>
            <w:r>
              <w:rPr>
                <w:sz w:val="19"/>
                <w:szCs w:val="19"/>
              </w:rPr>
              <w:t xml:space="preserve">Tolerância de 10 min; após, blocos de 15 min a 1,5x o valor/hora; se o atraso superar 30 min, todos os blocos a 2x o valor/hora (cláusula 3), mais indenização ao próximo Locatário prejudicado</w:t>
            </w:r>
          </w:p>
        </w:tc>
        <w:tc>
          <w:tcPr>
            <w:tcW w:type="dxa" w:w="2409"/>
            <w:tcMar>
              <w:top w:type="dxa" w:w="60"/>
              <w:left w:type="dxa" w:w="100"/>
              <w:bottom w:type="dxa" w:w="60"/>
              <w:right w:type="dxa" w:w="100"/>
            </w:tcMar>
          </w:tcPr>
          <w:p>
            <w:r>
              <w:rPr>
                <w:sz w:val="19"/>
                <w:szCs w:val="19"/>
              </w:rPr>
              <w:t xml:space="preserve">Não (reincidência pode gerar Advertência por violação de regras)</w:t>
            </w:r>
          </w:p>
        </w:tc>
        <w:tc>
          <w:tcPr>
            <w:tcW w:type="dxa" w:w="2411"/>
            <w:tcMar>
              <w:top w:type="dxa" w:w="60"/>
              <w:left w:type="dxa" w:w="100"/>
              <w:bottom w:type="dxa" w:w="60"/>
              <w:right w:type="dxa" w:w="100"/>
            </w:tcMar>
          </w:tcPr>
          <w:p>
            <w:r>
              <w:rPr>
                <w:sz w:val="19"/>
                <w:szCs w:val="19"/>
              </w:rPr>
              <w:t xml:space="preserve">24 horas</w:t>
            </w:r>
          </w:p>
        </w:tc>
      </w:tr>
      <w:tr>
        <w:trPr>
          <w:tblHeader w:val="off"/>
        </w:trPr>
        <w:tc>
          <w:tcPr>
            <w:tcW w:type="dxa" w:w="2409"/>
            <w:tcMar>
              <w:top w:type="dxa" w:w="60"/>
              <w:left w:type="dxa" w:w="100"/>
              <w:bottom w:type="dxa" w:w="60"/>
              <w:right w:type="dxa" w:w="100"/>
            </w:tcMar>
          </w:tcPr>
          <w:p>
            <w:r>
              <w:rPr>
                <w:b/>
                <w:bCs/>
                <w:sz w:val="19"/>
                <w:szCs w:val="19"/>
              </w:rPr>
              <w:t xml:space="preserve">Limpeza extra</w:t>
            </w:r>
          </w:p>
        </w:tc>
        <w:tc>
          <w:tcPr>
            <w:tcW w:type="dxa" w:w="2409"/>
            <w:tcMar>
              <w:top w:type="dxa" w:w="60"/>
              <w:left w:type="dxa" w:w="100"/>
              <w:bottom w:type="dxa" w:w="60"/>
              <w:right w:type="dxa" w:w="100"/>
            </w:tcMar>
          </w:tcPr>
          <w:p>
            <w:r>
              <w:rPr>
                <w:sz w:val="19"/>
                <w:szCs w:val="19"/>
              </w:rPr>
              <w:t xml:space="preserve">Custo comprovado da limpeza adicional</w:t>
            </w:r>
          </w:p>
        </w:tc>
        <w:tc>
          <w:tcPr>
            <w:tcW w:type="dxa" w:w="2409"/>
            <w:tcMar>
              <w:top w:type="dxa" w:w="60"/>
              <w:left w:type="dxa" w:w="100"/>
              <w:bottom w:type="dxa" w:w="60"/>
              <w:right w:type="dxa" w:w="100"/>
            </w:tcMar>
          </w:tcPr>
          <w:p>
            <w:r>
              <w:rPr>
                <w:sz w:val="19"/>
                <w:szCs w:val="19"/>
              </w:rPr>
              <w:t xml:space="preserve">Não</w:t>
            </w:r>
          </w:p>
        </w:tc>
        <w:tc>
          <w:tcPr>
            <w:tcW w:type="dxa" w:w="2411"/>
            <w:tcMar>
              <w:top w:type="dxa" w:w="60"/>
              <w:left w:type="dxa" w:w="100"/>
              <w:bottom w:type="dxa" w:w="60"/>
              <w:right w:type="dxa" w:w="100"/>
            </w:tcMar>
          </w:tcPr>
          <w:p>
            <w:r>
              <w:rPr>
                <w:sz w:val="19"/>
                <w:szCs w:val="19"/>
              </w:rPr>
              <w:t xml:space="preserve">24 horas</w:t>
            </w:r>
          </w:p>
        </w:tc>
      </w:tr>
      <w:tr>
        <w:trPr>
          <w:tblHeader w:val="off"/>
        </w:trPr>
        <w:tc>
          <w:tcPr>
            <w:tcW w:type="dxa" w:w="2409"/>
            <w:tcMar>
              <w:top w:type="dxa" w:w="60"/>
              <w:left w:type="dxa" w:w="100"/>
              <w:bottom w:type="dxa" w:w="60"/>
              <w:right w:type="dxa" w:w="100"/>
            </w:tcMar>
          </w:tcPr>
          <w:p>
            <w:r>
              <w:rPr>
                <w:b/>
                <w:bCs/>
                <w:sz w:val="19"/>
                <w:szCs w:val="19"/>
              </w:rPr>
              <w:t xml:space="preserve">Dano</w:t>
            </w:r>
            <w:r>
              <w:rPr>
                <w:sz w:val="19"/>
                <w:szCs w:val="19"/>
              </w:rPr>
              <w:t xml:space="preserve"> ao Espaço, mobiliário ou equipamentos</w:t>
            </w:r>
          </w:p>
        </w:tc>
        <w:tc>
          <w:tcPr>
            <w:tcW w:type="dxa" w:w="2409"/>
            <w:tcMar>
              <w:top w:type="dxa" w:w="60"/>
              <w:left w:type="dxa" w:w="100"/>
              <w:bottom w:type="dxa" w:w="60"/>
              <w:right w:type="dxa" w:w="100"/>
            </w:tcMar>
          </w:tcPr>
          <w:p>
            <w:r>
              <w:rPr>
                <w:sz w:val="19"/>
                <w:szCs w:val="19"/>
              </w:rPr>
              <w:t xml:space="preserve">Custo comprovado de reparo ou reposição (cláusula 4)</w:t>
            </w:r>
          </w:p>
        </w:tc>
        <w:tc>
          <w:tcPr>
            <w:tcW w:type="dxa" w:w="2409"/>
            <w:tcMar>
              <w:top w:type="dxa" w:w="60"/>
              <w:left w:type="dxa" w:w="100"/>
              <w:bottom w:type="dxa" w:w="60"/>
              <w:right w:type="dxa" w:w="100"/>
            </w:tcMar>
          </w:tcPr>
          <w:p>
            <w:r>
              <w:rPr>
                <w:sz w:val="19"/>
                <w:szCs w:val="19"/>
              </w:rPr>
              <w:t xml:space="preserve">Não, salvo dano intencional ou por negligência grave</w:t>
            </w:r>
          </w:p>
        </w:tc>
        <w:tc>
          <w:tcPr>
            <w:tcW w:type="dxa" w:w="2411"/>
            <w:tcMar>
              <w:top w:type="dxa" w:w="60"/>
              <w:left w:type="dxa" w:w="100"/>
              <w:bottom w:type="dxa" w:w="60"/>
              <w:right w:type="dxa" w:w="100"/>
            </w:tcMar>
          </w:tcPr>
          <w:p>
            <w:r>
              <w:rPr>
                <w:sz w:val="19"/>
                <w:szCs w:val="19"/>
              </w:rPr>
              <w:t xml:space="preserve">72 horas</w:t>
            </w:r>
          </w:p>
        </w:tc>
      </w:tr>
      <w:tr>
        <w:trPr>
          <w:tblHeader w:val="off"/>
        </w:trPr>
        <w:tc>
          <w:tcPr>
            <w:tcW w:type="dxa" w:w="2409"/>
            <w:tcMar>
              <w:top w:type="dxa" w:w="60"/>
              <w:left w:type="dxa" w:w="100"/>
              <w:bottom w:type="dxa" w:w="60"/>
              <w:right w:type="dxa" w:w="100"/>
            </w:tcMar>
          </w:tcPr>
          <w:p>
            <w:r>
              <w:rPr>
                <w:b/>
                <w:bCs/>
                <w:sz w:val="19"/>
                <w:szCs w:val="19"/>
              </w:rPr>
              <w:t xml:space="preserve">Violação de regras</w:t>
            </w:r>
            <w:r>
              <w:rPr>
                <w:sz w:val="19"/>
                <w:szCs w:val="19"/>
              </w:rPr>
              <w:t xml:space="preserve"> do Espaço, do edifício ou da Plataforma</w:t>
            </w:r>
          </w:p>
        </w:tc>
        <w:tc>
          <w:tcPr>
            <w:tcW w:type="dxa" w:w="2409"/>
            <w:tcMar>
              <w:top w:type="dxa" w:w="60"/>
              <w:left w:type="dxa" w:w="100"/>
              <w:bottom w:type="dxa" w:w="60"/>
              <w:right w:type="dxa" w:w="100"/>
            </w:tcMar>
          </w:tcPr>
          <w:p>
            <w:r>
              <w:rPr>
                <w:sz w:val="19"/>
                <w:szCs w:val="19"/>
              </w:rPr>
              <w:t xml:space="preserve">20% do Valor Base</w:t>
            </w:r>
          </w:p>
        </w:tc>
        <w:tc>
          <w:tcPr>
            <w:tcW w:type="dxa" w:w="2409"/>
            <w:tcMar>
              <w:top w:type="dxa" w:w="60"/>
              <w:left w:type="dxa" w:w="100"/>
              <w:bottom w:type="dxa" w:w="60"/>
              <w:right w:type="dxa" w:w="100"/>
            </w:tcMar>
          </w:tcPr>
          <w:p>
            <w:r>
              <w:rPr>
                <w:sz w:val="19"/>
                <w:szCs w:val="19"/>
              </w:rPr>
              <w:t xml:space="preserve">Sim</w:t>
            </w:r>
          </w:p>
        </w:tc>
        <w:tc>
          <w:tcPr>
            <w:tcW w:type="dxa" w:w="2411"/>
            <w:tcMar>
              <w:top w:type="dxa" w:w="60"/>
              <w:left w:type="dxa" w:w="100"/>
              <w:bottom w:type="dxa" w:w="60"/>
              <w:right w:type="dxa" w:w="100"/>
            </w:tcMar>
          </w:tcPr>
          <w:p>
            <w:r>
              <w:rPr>
                <w:sz w:val="19"/>
                <w:szCs w:val="19"/>
              </w:rPr>
              <w:t xml:space="preserve">72 horas</w:t>
            </w:r>
          </w:p>
        </w:tc>
      </w:tr>
      <w:tr>
        <w:trPr>
          <w:tblHeader w:val="off"/>
        </w:trPr>
        <w:tc>
          <w:tcPr>
            <w:tcW w:type="dxa" w:w="2409"/>
            <w:tcMar>
              <w:top w:type="dxa" w:w="60"/>
              <w:left w:type="dxa" w:w="100"/>
              <w:bottom w:type="dxa" w:w="60"/>
              <w:right w:type="dxa" w:w="100"/>
            </w:tcMar>
          </w:tcPr>
          <w:p>
            <w:r>
              <w:rPr>
                <w:b/>
                <w:bCs/>
                <w:sz w:val="19"/>
                <w:szCs w:val="19"/>
              </w:rPr>
              <w:t xml:space="preserve">Excesso de capacidade</w:t>
            </w:r>
            <w:r>
              <w:rPr>
                <w:sz w:val="19"/>
                <w:szCs w:val="19"/>
              </w:rPr>
              <w:t xml:space="preserve"> (mais pessoas que o declarado ou que a capacidade)</w:t>
            </w:r>
          </w:p>
        </w:tc>
        <w:tc>
          <w:tcPr>
            <w:tcW w:type="dxa" w:w="2409"/>
            <w:tcMar>
              <w:top w:type="dxa" w:w="60"/>
              <w:left w:type="dxa" w:w="100"/>
              <w:bottom w:type="dxa" w:w="60"/>
              <w:right w:type="dxa" w:w="100"/>
            </w:tcMar>
          </w:tcPr>
          <w:p>
            <w:r>
              <w:rPr>
                <w:sz w:val="19"/>
                <w:szCs w:val="19"/>
              </w:rPr>
              <w:t xml:space="preserve">25% do Valor Base</w:t>
            </w:r>
          </w:p>
        </w:tc>
        <w:tc>
          <w:tcPr>
            <w:tcW w:type="dxa" w:w="2409"/>
            <w:tcMar>
              <w:top w:type="dxa" w:w="60"/>
              <w:left w:type="dxa" w:w="100"/>
              <w:bottom w:type="dxa" w:w="60"/>
              <w:right w:type="dxa" w:w="100"/>
            </w:tcMar>
          </w:tcPr>
          <w:p>
            <w:r>
              <w:rPr>
                <w:sz w:val="19"/>
                <w:szCs w:val="19"/>
              </w:rPr>
              <w:t xml:space="preserve">Sim</w:t>
            </w:r>
          </w:p>
        </w:tc>
        <w:tc>
          <w:tcPr>
            <w:tcW w:type="dxa" w:w="2411"/>
            <w:tcMar>
              <w:top w:type="dxa" w:w="60"/>
              <w:left w:type="dxa" w:w="100"/>
              <w:bottom w:type="dxa" w:w="60"/>
              <w:right w:type="dxa" w:w="100"/>
            </w:tcMar>
          </w:tcPr>
          <w:p>
            <w:r>
              <w:rPr>
                <w:sz w:val="19"/>
                <w:szCs w:val="19"/>
              </w:rPr>
              <w:t xml:space="preserve">72 horas</w:t>
            </w:r>
          </w:p>
        </w:tc>
      </w:tr>
      <w:tr>
        <w:trPr>
          <w:tblHeader w:val="off"/>
        </w:trPr>
        <w:tc>
          <w:tcPr>
            <w:tcW w:type="dxa" w:w="2409"/>
            <w:tcMar>
              <w:top w:type="dxa" w:w="60"/>
              <w:left w:type="dxa" w:w="100"/>
              <w:bottom w:type="dxa" w:w="60"/>
              <w:right w:type="dxa" w:w="100"/>
            </w:tcMar>
          </w:tcPr>
          <w:p>
            <w:r>
              <w:rPr>
                <w:b/>
                <w:bCs/>
                <w:sz w:val="19"/>
                <w:szCs w:val="19"/>
              </w:rPr>
              <w:t xml:space="preserve">Atividade não autorizada</w:t>
            </w:r>
            <w:r>
              <w:rPr>
                <w:sz w:val="19"/>
                <w:szCs w:val="19"/>
              </w:rPr>
              <w:t xml:space="preserve"> (diversa da declarada, proibida pelo Anfitrião ou sem habilitação)</w:t>
            </w:r>
          </w:p>
        </w:tc>
        <w:tc>
          <w:tcPr>
            <w:tcW w:type="dxa" w:w="2409"/>
            <w:tcMar>
              <w:top w:type="dxa" w:w="60"/>
              <w:left w:type="dxa" w:w="100"/>
              <w:bottom w:type="dxa" w:w="60"/>
              <w:right w:type="dxa" w:w="100"/>
            </w:tcMar>
          </w:tcPr>
          <w:p>
            <w:r>
              <w:rPr>
                <w:sz w:val="19"/>
                <w:szCs w:val="19"/>
              </w:rPr>
              <w:t xml:space="preserve">50% do Valor Base</w:t>
            </w:r>
          </w:p>
        </w:tc>
        <w:tc>
          <w:tcPr>
            <w:tcW w:type="dxa" w:w="2409"/>
            <w:tcMar>
              <w:top w:type="dxa" w:w="60"/>
              <w:left w:type="dxa" w:w="100"/>
              <w:bottom w:type="dxa" w:w="60"/>
              <w:right w:type="dxa" w:w="100"/>
            </w:tcMar>
          </w:tcPr>
          <w:p>
            <w:r>
              <w:rPr>
                <w:sz w:val="19"/>
                <w:szCs w:val="19"/>
              </w:rPr>
              <w:t xml:space="preserve">Sim</w:t>
            </w:r>
          </w:p>
        </w:tc>
        <w:tc>
          <w:tcPr>
            <w:tcW w:type="dxa" w:w="2411"/>
            <w:tcMar>
              <w:top w:type="dxa" w:w="60"/>
              <w:left w:type="dxa" w:w="100"/>
              <w:bottom w:type="dxa" w:w="60"/>
              <w:right w:type="dxa" w:w="100"/>
            </w:tcMar>
          </w:tcPr>
          <w:p>
            <w:r>
              <w:rPr>
                <w:sz w:val="19"/>
                <w:szCs w:val="19"/>
              </w:rPr>
              <w:t xml:space="preserve">72 horas</w:t>
            </w:r>
          </w:p>
        </w:tc>
      </w:tr>
      <w:tr>
        <w:trPr>
          <w:tblHeader w:val="off"/>
        </w:trPr>
        <w:tc>
          <w:tcPr>
            <w:tcW w:type="dxa" w:w="2409"/>
            <w:tcMar>
              <w:top w:type="dxa" w:w="60"/>
              <w:left w:type="dxa" w:w="100"/>
              <w:bottom w:type="dxa" w:w="60"/>
              <w:right w:type="dxa" w:w="100"/>
            </w:tcMar>
          </w:tcPr>
          <w:p>
            <w:r>
              <w:rPr>
                <w:b/>
                <w:bCs/>
                <w:sz w:val="19"/>
                <w:szCs w:val="19"/>
              </w:rPr>
              <w:t xml:space="preserve">Exercício ilegal de profissão</w:t>
            </w:r>
            <w:r>
              <w:rPr>
                <w:sz w:val="19"/>
                <w:szCs w:val="19"/>
              </w:rPr>
              <w:t xml:space="preserve"> (atuar sem habilitação válida e ativa, fora de seus limites, com registro de terceiro ou documento falso)</w:t>
            </w:r>
          </w:p>
        </w:tc>
        <w:tc>
          <w:tcPr>
            <w:tcW w:type="dxa" w:w="2409"/>
            <w:tcMar>
              <w:top w:type="dxa" w:w="60"/>
              <w:left w:type="dxa" w:w="100"/>
              <w:bottom w:type="dxa" w:w="60"/>
              <w:right w:type="dxa" w:w="100"/>
            </w:tcMar>
          </w:tcPr>
          <w:p>
            <w:r>
              <w:rPr>
                <w:sz w:val="19"/>
                <w:szCs w:val="19"/>
              </w:rPr>
              <w:t xml:space="preserve">50% do Valor Base (penalidade de atividade não autorizada), </w:t>
            </w:r>
            <w:r>
              <w:rPr>
                <w:b/>
                <w:bCs/>
                <w:sz w:val="19"/>
                <w:szCs w:val="19"/>
              </w:rPr>
              <w:t xml:space="preserve">exclusão imediata e definitiva</w:t>
            </w:r>
            <w:r>
              <w:rPr>
                <w:sz w:val="19"/>
                <w:szCs w:val="19"/>
              </w:rPr>
              <w:t xml:space="preserve"> da conta e </w:t>
            </w:r>
            <w:r>
              <w:rPr>
                <w:b/>
                <w:bCs/>
                <w:sz w:val="19"/>
                <w:szCs w:val="19"/>
              </w:rPr>
              <w:t xml:space="preserve">comunicação às autoridades</w:t>
            </w:r>
            <w:r>
              <w:rPr>
                <w:sz w:val="19"/>
                <w:szCs w:val="19"/>
              </w:rPr>
              <w:t xml:space="preserve"> e ao órgão profissional competentes (cláusula 6.5)</w:t>
            </w:r>
          </w:p>
        </w:tc>
        <w:tc>
          <w:tcPr>
            <w:tcW w:type="dxa" w:w="2409"/>
            <w:tcMar>
              <w:top w:type="dxa" w:w="60"/>
              <w:left w:type="dxa" w:w="100"/>
              <w:bottom w:type="dxa" w:w="60"/>
              <w:right w:type="dxa" w:w="100"/>
            </w:tcMar>
          </w:tcPr>
          <w:p>
            <w:r>
              <w:rPr>
                <w:sz w:val="19"/>
                <w:szCs w:val="19"/>
              </w:rPr>
              <w:t xml:space="preserve">Sim — falta grave</w:t>
            </w:r>
          </w:p>
        </w:tc>
        <w:tc>
          <w:tcPr>
            <w:tcW w:type="dxa" w:w="2411"/>
            <w:tcMar>
              <w:top w:type="dxa" w:w="60"/>
              <w:left w:type="dxa" w:w="100"/>
              <w:bottom w:type="dxa" w:w="60"/>
              <w:right w:type="dxa" w:w="100"/>
            </w:tcMar>
          </w:tcPr>
          <w:p>
            <w:r>
              <w:rPr>
                <w:sz w:val="19"/>
                <w:szCs w:val="19"/>
              </w:rPr>
              <w:t xml:space="preserve">Pecuniária: 72 horas; exclusão e comunicação: a qualquer tempo</w:t>
            </w:r>
          </w:p>
        </w:tc>
      </w:tr>
      <w:tr>
        <w:trPr>
          <w:tblHeader w:val="off"/>
        </w:trPr>
        <w:tc>
          <w:tcPr>
            <w:tcW w:type="dxa" w:w="2409"/>
            <w:tcMar>
              <w:top w:type="dxa" w:w="60"/>
              <w:left w:type="dxa" w:w="100"/>
              <w:bottom w:type="dxa" w:w="60"/>
              <w:right w:type="dxa" w:w="100"/>
            </w:tcMar>
          </w:tcPr>
          <w:p>
            <w:r>
              <w:rPr>
                <w:b/>
                <w:bCs/>
                <w:sz w:val="19"/>
                <w:szCs w:val="19"/>
              </w:rPr>
              <w:t xml:space="preserve">Sublocação</w:t>
            </w:r>
            <w:r>
              <w:rPr>
                <w:sz w:val="19"/>
                <w:szCs w:val="19"/>
              </w:rPr>
              <w:t xml:space="preserve"> ou cessão a terceiro</w:t>
            </w:r>
          </w:p>
        </w:tc>
        <w:tc>
          <w:tcPr>
            <w:tcW w:type="dxa" w:w="2409"/>
            <w:tcMar>
              <w:top w:type="dxa" w:w="60"/>
              <w:left w:type="dxa" w:w="100"/>
              <w:bottom w:type="dxa" w:w="60"/>
              <w:right w:type="dxa" w:w="100"/>
            </w:tcMar>
          </w:tcPr>
          <w:p>
            <w:r>
              <w:rPr>
                <w:sz w:val="19"/>
                <w:szCs w:val="19"/>
              </w:rPr>
              <w:t xml:space="preserve">100% do Valor Base; possível exclusão da conta</w:t>
            </w:r>
          </w:p>
        </w:tc>
        <w:tc>
          <w:tcPr>
            <w:tcW w:type="dxa" w:w="2409"/>
            <w:tcMar>
              <w:top w:type="dxa" w:w="60"/>
              <w:left w:type="dxa" w:w="100"/>
              <w:bottom w:type="dxa" w:w="60"/>
              <w:right w:type="dxa" w:w="100"/>
            </w:tcMar>
          </w:tcPr>
          <w:p>
            <w:r>
              <w:rPr>
                <w:sz w:val="19"/>
                <w:szCs w:val="19"/>
              </w:rPr>
              <w:t xml:space="preserve">Sim — falta grave</w:t>
            </w:r>
          </w:p>
        </w:tc>
        <w:tc>
          <w:tcPr>
            <w:tcW w:type="dxa" w:w="2411"/>
            <w:tcMar>
              <w:top w:type="dxa" w:w="60"/>
              <w:left w:type="dxa" w:w="100"/>
              <w:bottom w:type="dxa" w:w="60"/>
              <w:right w:type="dxa" w:w="100"/>
            </w:tcMar>
          </w:tcPr>
          <w:p>
            <w:r>
              <w:rPr>
                <w:sz w:val="19"/>
                <w:szCs w:val="19"/>
              </w:rPr>
              <w:t xml:space="preserve">168 horas (7 dias)</w:t>
            </w:r>
          </w:p>
        </w:tc>
      </w:tr>
      <w:tr>
        <w:trPr>
          <w:tblHeader w:val="off"/>
        </w:trPr>
        <w:tc>
          <w:tcPr>
            <w:tcW w:type="dxa" w:w="2409"/>
            <w:tcMar>
              <w:top w:type="dxa" w:w="60"/>
              <w:left w:type="dxa" w:w="100"/>
              <w:bottom w:type="dxa" w:w="60"/>
              <w:right w:type="dxa" w:w="100"/>
            </w:tcMar>
          </w:tcPr>
          <w:p>
            <w:r>
              <w:rPr>
                <w:b/>
                <w:bCs/>
                <w:sz w:val="19"/>
                <w:szCs w:val="19"/>
              </w:rPr>
              <w:t xml:space="preserve">Fumo ou uso de substâncias</w:t>
            </w:r>
            <w:r>
              <w:rPr>
                <w:sz w:val="19"/>
                <w:szCs w:val="19"/>
              </w:rPr>
              <w:t xml:space="preserve"> proibidas no Espaço</w:t>
            </w:r>
          </w:p>
        </w:tc>
        <w:tc>
          <w:tcPr>
            <w:tcW w:type="dxa" w:w="2409"/>
            <w:tcMar>
              <w:top w:type="dxa" w:w="60"/>
              <w:left w:type="dxa" w:w="100"/>
              <w:bottom w:type="dxa" w:w="60"/>
              <w:right w:type="dxa" w:w="100"/>
            </w:tcMar>
          </w:tcPr>
          <w:p>
            <w:r>
              <w:rPr>
                <w:sz w:val="19"/>
                <w:szCs w:val="19"/>
              </w:rPr>
              <w:t xml:space="preserve">Valor equivalente a 2 horas do preço/hora do Espaço, além do custo de limpeza especializada, se houver</w:t>
            </w:r>
          </w:p>
        </w:tc>
        <w:tc>
          <w:tcPr>
            <w:tcW w:type="dxa" w:w="2409"/>
            <w:tcMar>
              <w:top w:type="dxa" w:w="60"/>
              <w:left w:type="dxa" w:w="100"/>
              <w:bottom w:type="dxa" w:w="60"/>
              <w:right w:type="dxa" w:w="100"/>
            </w:tcMar>
          </w:tcPr>
          <w:p>
            <w:r>
              <w:rPr>
                <w:sz w:val="19"/>
                <w:szCs w:val="19"/>
              </w:rPr>
              <w:t xml:space="preserve">Sim</w:t>
            </w:r>
          </w:p>
        </w:tc>
        <w:tc>
          <w:tcPr>
            <w:tcW w:type="dxa" w:w="2411"/>
            <w:tcMar>
              <w:top w:type="dxa" w:w="60"/>
              <w:left w:type="dxa" w:w="100"/>
              <w:bottom w:type="dxa" w:w="60"/>
              <w:right w:type="dxa" w:w="100"/>
            </w:tcMar>
          </w:tcPr>
          <w:p>
            <w:r>
              <w:rPr>
                <w:sz w:val="19"/>
                <w:szCs w:val="19"/>
              </w:rPr>
              <w:t xml:space="preserve">24 horas</w:t>
            </w:r>
          </w:p>
        </w:tc>
      </w:tr>
      <w:tr>
        <w:trPr>
          <w:tblHeader w:val="off"/>
        </w:trPr>
        <w:tc>
          <w:tcPr>
            <w:tcW w:type="dxa" w:w="2409"/>
            <w:tcMar>
              <w:top w:type="dxa" w:w="60"/>
              <w:left w:type="dxa" w:w="100"/>
              <w:bottom w:type="dxa" w:w="60"/>
              <w:right w:type="dxa" w:w="100"/>
            </w:tcMar>
          </w:tcPr>
          <w:p>
            <w:r>
              <w:rPr>
                <w:b/>
                <w:bCs/>
                <w:sz w:val="19"/>
                <w:szCs w:val="19"/>
              </w:rPr>
              <w:t xml:space="preserve">Multa de condomínio/edifício</w:t>
            </w:r>
            <w:r>
              <w:rPr>
                <w:sz w:val="19"/>
                <w:szCs w:val="19"/>
              </w:rPr>
              <w:t xml:space="preserve"> causada pelo Locatário</w:t>
            </w:r>
          </w:p>
        </w:tc>
        <w:tc>
          <w:tcPr>
            <w:tcW w:type="dxa" w:w="2409"/>
            <w:tcMar>
              <w:top w:type="dxa" w:w="60"/>
              <w:left w:type="dxa" w:w="100"/>
              <w:bottom w:type="dxa" w:w="60"/>
              <w:right w:type="dxa" w:w="100"/>
            </w:tcMar>
          </w:tcPr>
          <w:p>
            <w:r>
              <w:rPr>
                <w:sz w:val="19"/>
                <w:szCs w:val="19"/>
              </w:rPr>
              <w:t xml:space="preserve">Repasse do valor da multa efetivamente aplicada, mediante cópia da notificação</w:t>
            </w:r>
          </w:p>
        </w:tc>
        <w:tc>
          <w:tcPr>
            <w:tcW w:type="dxa" w:w="2409"/>
            <w:tcMar>
              <w:top w:type="dxa" w:w="60"/>
              <w:left w:type="dxa" w:w="100"/>
              <w:bottom w:type="dxa" w:w="60"/>
              <w:right w:type="dxa" w:w="100"/>
            </w:tcMar>
          </w:tcPr>
          <w:p>
            <w:r>
              <w:rPr>
                <w:sz w:val="19"/>
                <w:szCs w:val="19"/>
              </w:rPr>
              <w:t xml:space="preserve">Sim</w:t>
            </w:r>
          </w:p>
        </w:tc>
        <w:tc>
          <w:tcPr>
            <w:tcW w:type="dxa" w:w="2411"/>
            <w:tcMar>
              <w:top w:type="dxa" w:w="60"/>
              <w:left w:type="dxa" w:w="100"/>
              <w:bottom w:type="dxa" w:w="60"/>
              <w:right w:type="dxa" w:w="100"/>
            </w:tcMar>
          </w:tcPr>
          <w:p>
            <w:r>
              <w:rPr>
                <w:sz w:val="19"/>
                <w:szCs w:val="19"/>
              </w:rPr>
              <w:t xml:space="preserve">720 horas (30 dias)</w:t>
            </w:r>
          </w:p>
        </w:tc>
      </w:tr>
      <w:tr>
        <w:trPr>
          <w:tblHeader w:val="off"/>
        </w:trPr>
        <w:tc>
          <w:tcPr>
            <w:tcW w:type="dxa" w:w="2409"/>
            <w:tcMar>
              <w:top w:type="dxa" w:w="60"/>
              <w:left w:type="dxa" w:w="100"/>
              <w:bottom w:type="dxa" w:w="60"/>
              <w:right w:type="dxa" w:w="100"/>
            </w:tcMar>
          </w:tcPr>
          <w:p>
            <w:r>
              <w:rPr>
                <w:b/>
                <w:bCs/>
                <w:sz w:val="19"/>
                <w:szCs w:val="19"/>
              </w:rPr>
              <w:t xml:space="preserve">Assédio, discriminação ou agressão física ou verbal</w:t>
            </w:r>
            <w:r>
              <w:rPr>
                <w:sz w:val="19"/>
                <w:szCs w:val="19"/>
              </w:rPr>
              <w:t xml:space="preserve"> (contra funcionários, Clientes Finais ou qualquer pessoa no ambiente)</w:t>
            </w:r>
          </w:p>
        </w:tc>
        <w:tc>
          <w:tcPr>
            <w:tcW w:type="dxa" w:w="2409"/>
            <w:tcMar>
              <w:top w:type="dxa" w:w="60"/>
              <w:left w:type="dxa" w:w="100"/>
              <w:bottom w:type="dxa" w:w="60"/>
              <w:right w:type="dxa" w:w="100"/>
            </w:tcMar>
          </w:tcPr>
          <w:p>
            <w:r>
              <w:rPr>
                <w:sz w:val="19"/>
                <w:szCs w:val="19"/>
              </w:rPr>
              <w:t xml:space="preserve">Exclusão imediata da conta; sem prejuízo de responsabilização civil e penal</w:t>
            </w:r>
          </w:p>
        </w:tc>
        <w:tc>
          <w:tcPr>
            <w:tcW w:type="dxa" w:w="2409"/>
            <w:tcMar>
              <w:top w:type="dxa" w:w="60"/>
              <w:left w:type="dxa" w:w="100"/>
              <w:bottom w:type="dxa" w:w="60"/>
              <w:right w:type="dxa" w:w="100"/>
            </w:tcMar>
          </w:tcPr>
          <w:p>
            <w:r>
              <w:rPr>
                <w:sz w:val="19"/>
                <w:szCs w:val="19"/>
              </w:rPr>
              <w:t xml:space="preserve">Sim — falta grave</w:t>
            </w:r>
          </w:p>
        </w:tc>
        <w:tc>
          <w:tcPr>
            <w:tcW w:type="dxa" w:w="2411"/>
            <w:tcMar>
              <w:top w:type="dxa" w:w="60"/>
              <w:left w:type="dxa" w:w="100"/>
              <w:bottom w:type="dxa" w:w="60"/>
              <w:right w:type="dxa" w:w="100"/>
            </w:tcMar>
          </w:tcPr>
          <w:p>
            <w:r>
              <w:rPr>
                <w:sz w:val="19"/>
                <w:szCs w:val="19"/>
              </w:rPr>
              <w:t xml:space="preserve">720 horas (30 dias)</w:t>
            </w:r>
          </w:p>
        </w:tc>
      </w:tr>
      <w:tr>
        <w:trPr>
          <w:tblHeader w:val="off"/>
        </w:trPr>
        <w:tc>
          <w:tcPr>
            <w:tcW w:type="dxa" w:w="2409"/>
            <w:tcMar>
              <w:top w:type="dxa" w:w="60"/>
              <w:left w:type="dxa" w:w="100"/>
              <w:bottom w:type="dxa" w:w="60"/>
              <w:right w:type="dxa" w:w="100"/>
            </w:tcMar>
          </w:tcPr>
          <w:p>
            <w:r>
              <w:rPr>
                <w:b/>
                <w:bCs/>
                <w:sz w:val="19"/>
                <w:szCs w:val="19"/>
              </w:rPr>
              <w:t xml:space="preserve">Armas, munições, explosivos ou produtos químicos proibidos</w:t>
            </w:r>
            <w:r>
              <w:rPr>
                <w:sz w:val="19"/>
                <w:szCs w:val="19"/>
              </w:rPr>
              <w:t xml:space="preserve"> no Espaço (Normas de Conduta, cláusula 10.2)</w:t>
            </w:r>
          </w:p>
        </w:tc>
        <w:tc>
          <w:tcPr>
            <w:tcW w:type="dxa" w:w="2409"/>
            <w:tcMar>
              <w:top w:type="dxa" w:w="60"/>
              <w:left w:type="dxa" w:w="100"/>
              <w:bottom w:type="dxa" w:w="60"/>
              <w:right w:type="dxa" w:w="100"/>
            </w:tcMar>
          </w:tcPr>
          <w:p>
            <w:r>
              <w:rPr>
                <w:sz w:val="19"/>
                <w:szCs w:val="19"/>
              </w:rPr>
              <w:t xml:space="preserve">Encerramento imediato da Ocorrência sem reembolso, exclusão da conta e comunicação às autoridades</w:t>
            </w:r>
          </w:p>
        </w:tc>
        <w:tc>
          <w:tcPr>
            <w:tcW w:type="dxa" w:w="2409"/>
            <w:tcMar>
              <w:top w:type="dxa" w:w="60"/>
              <w:left w:type="dxa" w:w="100"/>
              <w:bottom w:type="dxa" w:w="60"/>
              <w:right w:type="dxa" w:w="100"/>
            </w:tcMar>
          </w:tcPr>
          <w:p>
            <w:r>
              <w:rPr>
                <w:sz w:val="19"/>
                <w:szCs w:val="19"/>
              </w:rPr>
              <w:t xml:space="preserve">Sim — falta gravíssima</w:t>
            </w:r>
          </w:p>
        </w:tc>
        <w:tc>
          <w:tcPr>
            <w:tcW w:type="dxa" w:w="2411"/>
            <w:tcMar>
              <w:top w:type="dxa" w:w="60"/>
              <w:left w:type="dxa" w:w="100"/>
              <w:bottom w:type="dxa" w:w="60"/>
              <w:right w:type="dxa" w:w="100"/>
            </w:tcMar>
          </w:tcPr>
          <w:p>
            <w:r>
              <w:rPr>
                <w:sz w:val="19"/>
                <w:szCs w:val="19"/>
              </w:rPr>
              <w:t xml:space="preserve">720 horas (30 dias)</w:t>
            </w:r>
          </w:p>
        </w:tc>
      </w:tr>
      <w:tr>
        <w:trPr>
          <w:tblHeader w:val="off"/>
        </w:trPr>
        <w:tc>
          <w:tcPr>
            <w:tcW w:type="dxa" w:w="2409"/>
            <w:tcMar>
              <w:top w:type="dxa" w:w="60"/>
              <w:left w:type="dxa" w:w="100"/>
              <w:bottom w:type="dxa" w:w="60"/>
              <w:right w:type="dxa" w:w="100"/>
            </w:tcMar>
          </w:tcPr>
          <w:p>
            <w:r>
              <w:rPr>
                <w:b/>
                <w:bCs/>
                <w:sz w:val="19"/>
                <w:szCs w:val="19"/>
              </w:rPr>
              <w:t xml:space="preserve">Pagamento fora da Plataforma</w:t>
            </w:r>
            <w:r>
              <w:rPr>
                <w:sz w:val="19"/>
                <w:szCs w:val="19"/>
              </w:rPr>
              <w:t xml:space="preserve"> (solicitar, oferecer ou aceitar)</w:t>
            </w:r>
          </w:p>
        </w:tc>
        <w:tc>
          <w:tcPr>
            <w:tcW w:type="dxa" w:w="2409"/>
            <w:tcMar>
              <w:top w:type="dxa" w:w="60"/>
              <w:left w:type="dxa" w:w="100"/>
              <w:bottom w:type="dxa" w:w="60"/>
              <w:right w:type="dxa" w:w="100"/>
            </w:tcMar>
          </w:tcPr>
          <w:p>
            <w:r>
              <w:rPr>
                <w:sz w:val="19"/>
                <w:szCs w:val="19"/>
              </w:rPr>
              <w:t xml:space="preserve">Exclusão da conta dos envolvidos</w:t>
            </w:r>
          </w:p>
        </w:tc>
        <w:tc>
          <w:tcPr>
            <w:tcW w:type="dxa" w:w="2409"/>
            <w:tcMar>
              <w:top w:type="dxa" w:w="60"/>
              <w:left w:type="dxa" w:w="100"/>
              <w:bottom w:type="dxa" w:w="60"/>
              <w:right w:type="dxa" w:w="100"/>
            </w:tcMar>
          </w:tcPr>
          <w:p>
            <w:r>
              <w:rPr>
                <w:sz w:val="19"/>
                <w:szCs w:val="19"/>
              </w:rPr>
              <w:t xml:space="preserve">Sim — falta grave</w:t>
            </w:r>
          </w:p>
        </w:tc>
        <w:tc>
          <w:tcPr>
            <w:tcW w:type="dxa" w:w="2411"/>
            <w:tcMar>
              <w:top w:type="dxa" w:w="60"/>
              <w:left w:type="dxa" w:w="100"/>
              <w:bottom w:type="dxa" w:w="60"/>
              <w:right w:type="dxa" w:w="100"/>
            </w:tcMar>
          </w:tcPr>
          <w:p>
            <w:r>
              <w:rPr>
                <w:sz w:val="19"/>
                <w:szCs w:val="19"/>
              </w:rPr>
              <w:t xml:space="preserve">720 horas (30 dias)</w:t>
            </w:r>
          </w:p>
        </w:tc>
      </w:tr>
      <w:tr>
        <w:trPr>
          <w:tblHeader w:val="off"/>
        </w:trPr>
        <w:tc>
          <w:tcPr>
            <w:tcW w:type="dxa" w:w="2409"/>
            <w:tcMar>
              <w:top w:type="dxa" w:w="60"/>
              <w:left w:type="dxa" w:w="100"/>
              <w:bottom w:type="dxa" w:w="60"/>
              <w:right w:type="dxa" w:w="100"/>
            </w:tcMar>
          </w:tcPr>
          <w:p>
            <w:r>
              <w:rPr>
                <w:b/>
                <w:bCs/>
                <w:sz w:val="19"/>
                <w:szCs w:val="19"/>
              </w:rPr>
              <w:t xml:space="preserve">Não comparecimento</w:t>
            </w:r>
          </w:p>
        </w:tc>
        <w:tc>
          <w:tcPr>
            <w:tcW w:type="dxa" w:w="2409"/>
            <w:tcMar>
              <w:top w:type="dxa" w:w="60"/>
              <w:left w:type="dxa" w:w="100"/>
              <w:bottom w:type="dxa" w:w="60"/>
              <w:right w:type="dxa" w:w="100"/>
            </w:tcMar>
          </w:tcPr>
          <w:p>
            <w:r>
              <w:rPr>
                <w:sz w:val="19"/>
                <w:szCs w:val="19"/>
              </w:rPr>
              <w:t xml:space="preserve">Perda do Valor Base da Ocorrência (Política de Cancelamento); sem multa adicional</w:t>
            </w:r>
          </w:p>
        </w:tc>
        <w:tc>
          <w:tcPr>
            <w:tcW w:type="dxa" w:w="2409"/>
            <w:tcMar>
              <w:top w:type="dxa" w:w="60"/>
              <w:left w:type="dxa" w:w="100"/>
              <w:bottom w:type="dxa" w:w="60"/>
              <w:right w:type="dxa" w:w="100"/>
            </w:tcMar>
          </w:tcPr>
          <w:p>
            <w:r>
              <w:rPr>
                <w:sz w:val="19"/>
                <w:szCs w:val="19"/>
              </w:rPr>
              <w:t xml:space="preserve">Não</w:t>
            </w:r>
          </w:p>
        </w:tc>
        <w:tc>
          <w:tcPr>
            <w:tcW w:type="dxa" w:w="2411"/>
            <w:tcMar>
              <w:top w:type="dxa" w:w="60"/>
              <w:left w:type="dxa" w:w="100"/>
              <w:bottom w:type="dxa" w:w="60"/>
              <w:right w:type="dxa" w:w="100"/>
            </w:tcMar>
          </w:tcPr>
          <w:p>
            <w:r>
              <w:rPr>
                <w:sz w:val="19"/>
                <w:szCs w:val="19"/>
              </w:rPr>
              <w:t xml:space="preserve">24 horas</w:t>
            </w:r>
          </w:p>
        </w:tc>
      </w:tr>
    </w:tbl>
    <w:p/>
    <w:p>
      <w:pPr>
        <w:spacing w:after="120"/>
        <w:jc w:val="both"/>
      </w:pPr>
      <w:r>
        <w:t xml:space="preserve">2.2. Os prazos de reporte contam-se a partir do término da Ocorrência em que o fato se deu ou, para multas de condomínio, do término da Ocorrência a que a multa se refere. Incidentes reportados fora do prazo podem ser aceitos excepcionalmente quando o fato não pudesse ser conhecido antes (por exemplo, dano oculto), a critério fundamentado da Plataforma.</w:t>
      </w:r>
    </w:p>
    <w:p>
      <w:pPr>
        <w:pStyle w:val="Heading2"/>
      </w:pPr>
      <w:r>
        <w:t xml:space="preserve">3. Atraso na saída — regra de cálculo</w:t>
      </w:r>
    </w:p>
    <w:p>
      <w:pPr>
        <w:spacing w:after="120"/>
        <w:jc w:val="both"/>
      </w:pPr>
      <w:r>
        <w:t xml:space="preserve">3.1. O atraso é medido do horário de término da Ocorrência até o check-out efetivo (registro na Plataforma, registro de acesso do Anfitrião ou outra prova idônea).</w:t>
      </w:r>
    </w:p>
    <w:p>
      <w:pPr>
        <w:spacing w:after="120"/>
        <w:jc w:val="both"/>
      </w:pPr>
      <w:r>
        <w:t xml:space="preserve">3.2. Cálculo:</w:t>
      </w:r>
    </w:p>
    <w:p>
      <w:pPr>
        <w:pStyle w:val="ListParagraph"/>
        <w:numPr>
          <w:ilvl w:val="0"/>
          <w:numId w:val="2"/>
        </w:numPr>
        <w:spacing w:after="60"/>
      </w:pPr>
      <w:r>
        <w:t xml:space="preserve">(a) atraso de até </w:t>
      </w:r>
      <w:r>
        <w:rPr>
          <w:b/>
          <w:bCs/>
        </w:rPr>
        <w:t xml:space="preserve">10 minutos</w:t>
      </w:r>
      <w:r>
        <w:t xml:space="preserve">: sem cobrança (tolerância);</w:t>
      </w:r>
    </w:p>
    <w:p>
      <w:pPr>
        <w:pStyle w:val="ListParagraph"/>
        <w:numPr>
          <w:ilvl w:val="0"/>
          <w:numId w:val="2"/>
        </w:numPr>
        <w:spacing w:after="60"/>
      </w:pPr>
      <w:r>
        <w:t xml:space="preserve">(b) atraso acima de 10 minutos e até </w:t>
      </w:r>
      <w:r>
        <w:rPr>
          <w:b/>
          <w:bCs/>
        </w:rPr>
        <w:t xml:space="preserve">30 minutos</w:t>
      </w:r>
      <w:r>
        <w:t xml:space="preserve">: o atraso total é arredondado para cima em blocos de </w:t>
      </w:r>
      <w:r>
        <w:rPr>
          <w:b/>
          <w:bCs/>
        </w:rPr>
        <w:t xml:space="preserve">15 minutos</w:t>
      </w:r>
      <w:r>
        <w:t xml:space="preserve">, e cada bloco é cobrado a </w:t>
      </w:r>
      <w:r>
        <w:rPr>
          <w:b/>
          <w:bCs/>
        </w:rPr>
        <w:t xml:space="preserve">1,5 vez</w:t>
      </w:r>
      <w:r>
        <w:t xml:space="preserve"> o valor proporcional da hora;</w:t>
      </w:r>
    </w:p>
    <w:p>
      <w:pPr>
        <w:pStyle w:val="ListParagraph"/>
        <w:numPr>
          <w:ilvl w:val="0"/>
          <w:numId w:val="2"/>
        </w:numPr>
        <w:spacing w:after="60"/>
      </w:pPr>
      <w:r>
        <w:t xml:space="preserve">(c) atraso acima de </w:t>
      </w:r>
      <w:r>
        <w:rPr>
          <w:b/>
          <w:bCs/>
        </w:rPr>
        <w:t xml:space="preserve">30 minutos</w:t>
      </w:r>
      <w:r>
        <w:t xml:space="preserve">: o atraso total é arredondado para cima em blocos de 15 minutos, e cada bloco é cobrado a </w:t>
      </w:r>
      <w:r>
        <w:rPr>
          <w:b/>
          <w:bCs/>
        </w:rPr>
        <w:t xml:space="preserve">2 vezes</w:t>
      </w:r>
      <w:r>
        <w:t xml:space="preserve"> o valor proporcional da hora.</w:t>
      </w:r>
    </w:p>
    <w:p>
      <w:pPr>
        <w:spacing w:after="120"/>
        <w:jc w:val="both"/>
      </w:pPr>
      <w:r>
        <w:t xml:space="preserve">3.3. Exemplos, para Espaço com preço de 100 por hora: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shd w:fill="E6F2F1" w:color="auto" w:val="clear"/>
            <w:tcMar>
              <w:top w:type="dxa" w:w="60"/>
              <w:left w:type="dxa" w:w="100"/>
              <w:bottom w:type="dxa" w:w="60"/>
              <w:right w:type="dxa" w:w="100"/>
            </w:tcMar>
          </w:tcPr>
          <w:p>
            <w:r>
              <w:rPr>
                <w:b/>
                <w:bCs/>
                <w:sz w:val="19"/>
                <w:szCs w:val="19"/>
              </w:rPr>
              <w:t xml:space="preserve">Atraso</w:t>
            </w:r>
          </w:p>
        </w:tc>
        <w:tc>
          <w:tcPr>
            <w:tcW w:type="dxa" w:w="2409"/>
            <w:shd w:fill="E6F2F1" w:color="auto" w:val="clear"/>
            <w:tcMar>
              <w:top w:type="dxa" w:w="60"/>
              <w:left w:type="dxa" w:w="100"/>
              <w:bottom w:type="dxa" w:w="60"/>
              <w:right w:type="dxa" w:w="100"/>
            </w:tcMar>
          </w:tcPr>
          <w:p>
            <w:r>
              <w:rPr>
                <w:b/>
                <w:bCs/>
                <w:sz w:val="19"/>
                <w:szCs w:val="19"/>
              </w:rPr>
              <w:t xml:space="preserve">Blocos de 15 min</w:t>
            </w:r>
          </w:p>
        </w:tc>
        <w:tc>
          <w:tcPr>
            <w:tcW w:type="dxa" w:w="2409"/>
            <w:shd w:fill="E6F2F1" w:color="auto" w:val="clear"/>
            <w:tcMar>
              <w:top w:type="dxa" w:w="60"/>
              <w:left w:type="dxa" w:w="100"/>
              <w:bottom w:type="dxa" w:w="60"/>
              <w:right w:type="dxa" w:w="100"/>
            </w:tcMar>
          </w:tcPr>
          <w:p>
            <w:r>
              <w:rPr>
                <w:b/>
                <w:bCs/>
                <w:sz w:val="19"/>
                <w:szCs w:val="19"/>
              </w:rPr>
              <w:t xml:space="preserve">Multiplicador</w:t>
            </w:r>
          </w:p>
        </w:tc>
        <w:tc>
          <w:tcPr>
            <w:tcW w:type="dxa" w:w="2411"/>
            <w:shd w:fill="E6F2F1" w:color="auto" w:val="clear"/>
            <w:tcMar>
              <w:top w:type="dxa" w:w="60"/>
              <w:left w:type="dxa" w:w="100"/>
              <w:bottom w:type="dxa" w:w="60"/>
              <w:right w:type="dxa" w:w="100"/>
            </w:tcMar>
          </w:tcPr>
          <w:p>
            <w:r>
              <w:rPr>
                <w:b/>
                <w:bCs/>
                <w:sz w:val="19"/>
                <w:szCs w:val="19"/>
              </w:rPr>
              <w:t xml:space="preserve">Cobrança</w:t>
            </w:r>
          </w:p>
        </w:tc>
      </w:tr>
      <w:tr>
        <w:trPr>
          <w:tblHeader w:val="off"/>
        </w:trPr>
        <w:tc>
          <w:tcPr>
            <w:tcW w:type="dxa" w:w="2409"/>
            <w:tcMar>
              <w:top w:type="dxa" w:w="60"/>
              <w:left w:type="dxa" w:w="100"/>
              <w:bottom w:type="dxa" w:w="60"/>
              <w:right w:type="dxa" w:w="100"/>
            </w:tcMar>
          </w:tcPr>
          <w:p>
            <w:r>
              <w:rPr>
                <w:sz w:val="19"/>
                <w:szCs w:val="19"/>
              </w:rPr>
              <w:t xml:space="preserve">8 min</w:t>
            </w:r>
          </w:p>
        </w:tc>
        <w:tc>
          <w:tcPr>
            <w:tcW w:type="dxa" w:w="2409"/>
            <w:tcMar>
              <w:top w:type="dxa" w:w="60"/>
              <w:left w:type="dxa" w:w="100"/>
              <w:bottom w:type="dxa" w:w="60"/>
              <w:right w:type="dxa" w:w="100"/>
            </w:tcMar>
          </w:tcPr>
          <w:p>
            <w:r>
              <w:rPr>
                <w:sz w:val="19"/>
                <w:szCs w:val="19"/>
              </w:rPr>
              <w:t xml:space="preserve">—</w:t>
            </w:r>
          </w:p>
        </w:tc>
        <w:tc>
          <w:tcPr>
            <w:tcW w:type="dxa" w:w="2409"/>
            <w:tcMar>
              <w:top w:type="dxa" w:w="60"/>
              <w:left w:type="dxa" w:w="100"/>
              <w:bottom w:type="dxa" w:w="60"/>
              <w:right w:type="dxa" w:w="100"/>
            </w:tcMar>
          </w:tcPr>
          <w:p>
            <w:r>
              <w:rPr>
                <w:sz w:val="19"/>
                <w:szCs w:val="19"/>
              </w:rPr>
              <w:t xml:space="preserve">—</w:t>
            </w:r>
          </w:p>
        </w:tc>
        <w:tc>
          <w:tcPr>
            <w:tcW w:type="dxa" w:w="2411"/>
            <w:tcMar>
              <w:top w:type="dxa" w:w="60"/>
              <w:left w:type="dxa" w:w="100"/>
              <w:bottom w:type="dxa" w:w="60"/>
              <w:right w:type="dxa" w:w="100"/>
            </w:tcMar>
          </w:tcPr>
          <w:p>
            <w:r>
              <w:rPr>
                <w:sz w:val="19"/>
                <w:szCs w:val="19"/>
              </w:rPr>
              <w:t xml:space="preserve">0</w:t>
            </w:r>
          </w:p>
        </w:tc>
      </w:tr>
      <w:tr>
        <w:trPr>
          <w:tblHeader w:val="off"/>
        </w:trPr>
        <w:tc>
          <w:tcPr>
            <w:tcW w:type="dxa" w:w="2409"/>
            <w:tcMar>
              <w:top w:type="dxa" w:w="60"/>
              <w:left w:type="dxa" w:w="100"/>
              <w:bottom w:type="dxa" w:w="60"/>
              <w:right w:type="dxa" w:w="100"/>
            </w:tcMar>
          </w:tcPr>
          <w:p>
            <w:r>
              <w:rPr>
                <w:sz w:val="19"/>
                <w:szCs w:val="19"/>
              </w:rPr>
              <w:t xml:space="preserve">20 min</w:t>
            </w:r>
          </w:p>
        </w:tc>
        <w:tc>
          <w:tcPr>
            <w:tcW w:type="dxa" w:w="2409"/>
            <w:tcMar>
              <w:top w:type="dxa" w:w="60"/>
              <w:left w:type="dxa" w:w="100"/>
              <w:bottom w:type="dxa" w:w="60"/>
              <w:right w:type="dxa" w:w="100"/>
            </w:tcMar>
          </w:tcPr>
          <w:p>
            <w:r>
              <w:rPr>
                <w:sz w:val="19"/>
                <w:szCs w:val="19"/>
              </w:rPr>
              <w:t xml:space="preserve">2</w:t>
            </w:r>
          </w:p>
        </w:tc>
        <w:tc>
          <w:tcPr>
            <w:tcW w:type="dxa" w:w="2409"/>
            <w:tcMar>
              <w:top w:type="dxa" w:w="60"/>
              <w:left w:type="dxa" w:w="100"/>
              <w:bottom w:type="dxa" w:w="60"/>
              <w:right w:type="dxa" w:w="100"/>
            </w:tcMar>
          </w:tcPr>
          <w:p>
            <w:r>
              <w:rPr>
                <w:sz w:val="19"/>
                <w:szCs w:val="19"/>
              </w:rPr>
              <w:t xml:space="preserve">1,5x</w:t>
            </w:r>
          </w:p>
        </w:tc>
        <w:tc>
          <w:tcPr>
            <w:tcW w:type="dxa" w:w="2411"/>
            <w:tcMar>
              <w:top w:type="dxa" w:w="60"/>
              <w:left w:type="dxa" w:w="100"/>
              <w:bottom w:type="dxa" w:w="60"/>
              <w:right w:type="dxa" w:w="100"/>
            </w:tcMar>
          </w:tcPr>
          <w:p>
            <w:r>
              <w:rPr>
                <w:sz w:val="19"/>
                <w:szCs w:val="19"/>
              </w:rPr>
              <w:t xml:space="preserve">75</w:t>
            </w:r>
          </w:p>
        </w:tc>
      </w:tr>
      <w:tr>
        <w:trPr>
          <w:tblHeader w:val="off"/>
        </w:trPr>
        <w:tc>
          <w:tcPr>
            <w:tcW w:type="dxa" w:w="2409"/>
            <w:tcMar>
              <w:top w:type="dxa" w:w="60"/>
              <w:left w:type="dxa" w:w="100"/>
              <w:bottom w:type="dxa" w:w="60"/>
              <w:right w:type="dxa" w:w="100"/>
            </w:tcMar>
          </w:tcPr>
          <w:p>
            <w:r>
              <w:rPr>
                <w:sz w:val="19"/>
                <w:szCs w:val="19"/>
              </w:rPr>
              <w:t xml:space="preserve">30 min</w:t>
            </w:r>
          </w:p>
        </w:tc>
        <w:tc>
          <w:tcPr>
            <w:tcW w:type="dxa" w:w="2409"/>
            <w:tcMar>
              <w:top w:type="dxa" w:w="60"/>
              <w:left w:type="dxa" w:w="100"/>
              <w:bottom w:type="dxa" w:w="60"/>
              <w:right w:type="dxa" w:w="100"/>
            </w:tcMar>
          </w:tcPr>
          <w:p>
            <w:r>
              <w:rPr>
                <w:sz w:val="19"/>
                <w:szCs w:val="19"/>
              </w:rPr>
              <w:t xml:space="preserve">2</w:t>
            </w:r>
          </w:p>
        </w:tc>
        <w:tc>
          <w:tcPr>
            <w:tcW w:type="dxa" w:w="2409"/>
            <w:tcMar>
              <w:top w:type="dxa" w:w="60"/>
              <w:left w:type="dxa" w:w="100"/>
              <w:bottom w:type="dxa" w:w="60"/>
              <w:right w:type="dxa" w:w="100"/>
            </w:tcMar>
          </w:tcPr>
          <w:p>
            <w:r>
              <w:rPr>
                <w:sz w:val="19"/>
                <w:szCs w:val="19"/>
              </w:rPr>
              <w:t xml:space="preserve">1,5x</w:t>
            </w:r>
          </w:p>
        </w:tc>
        <w:tc>
          <w:tcPr>
            <w:tcW w:type="dxa" w:w="2411"/>
            <w:tcMar>
              <w:top w:type="dxa" w:w="60"/>
              <w:left w:type="dxa" w:w="100"/>
              <w:bottom w:type="dxa" w:w="60"/>
              <w:right w:type="dxa" w:w="100"/>
            </w:tcMar>
          </w:tcPr>
          <w:p>
            <w:r>
              <w:rPr>
                <w:sz w:val="19"/>
                <w:szCs w:val="19"/>
              </w:rPr>
              <w:t xml:space="preserve">75</w:t>
            </w:r>
          </w:p>
        </w:tc>
      </w:tr>
      <w:tr>
        <w:trPr>
          <w:tblHeader w:val="off"/>
        </w:trPr>
        <w:tc>
          <w:tcPr>
            <w:tcW w:type="dxa" w:w="2409"/>
            <w:tcMar>
              <w:top w:type="dxa" w:w="60"/>
              <w:left w:type="dxa" w:w="100"/>
              <w:bottom w:type="dxa" w:w="60"/>
              <w:right w:type="dxa" w:w="100"/>
            </w:tcMar>
          </w:tcPr>
          <w:p>
            <w:r>
              <w:rPr>
                <w:sz w:val="19"/>
                <w:szCs w:val="19"/>
              </w:rPr>
              <w:t xml:space="preserve">40 min</w:t>
            </w:r>
          </w:p>
        </w:tc>
        <w:tc>
          <w:tcPr>
            <w:tcW w:type="dxa" w:w="2409"/>
            <w:tcMar>
              <w:top w:type="dxa" w:w="60"/>
              <w:left w:type="dxa" w:w="100"/>
              <w:bottom w:type="dxa" w:w="60"/>
              <w:right w:type="dxa" w:w="100"/>
            </w:tcMar>
          </w:tcPr>
          <w:p>
            <w:r>
              <w:rPr>
                <w:sz w:val="19"/>
                <w:szCs w:val="19"/>
              </w:rPr>
              <w:t xml:space="preserve">3</w:t>
            </w:r>
          </w:p>
        </w:tc>
        <w:tc>
          <w:tcPr>
            <w:tcW w:type="dxa" w:w="2409"/>
            <w:tcMar>
              <w:top w:type="dxa" w:w="60"/>
              <w:left w:type="dxa" w:w="100"/>
              <w:bottom w:type="dxa" w:w="60"/>
              <w:right w:type="dxa" w:w="100"/>
            </w:tcMar>
          </w:tcPr>
          <w:p>
            <w:r>
              <w:rPr>
                <w:sz w:val="19"/>
                <w:szCs w:val="19"/>
              </w:rPr>
              <w:t xml:space="preserve">2x</w:t>
            </w:r>
          </w:p>
        </w:tc>
        <w:tc>
          <w:tcPr>
            <w:tcW w:type="dxa" w:w="2411"/>
            <w:tcMar>
              <w:top w:type="dxa" w:w="60"/>
              <w:left w:type="dxa" w:w="100"/>
              <w:bottom w:type="dxa" w:w="60"/>
              <w:right w:type="dxa" w:w="100"/>
            </w:tcMar>
          </w:tcPr>
          <w:p>
            <w:r>
              <w:rPr>
                <w:sz w:val="19"/>
                <w:szCs w:val="19"/>
              </w:rPr>
              <w:t xml:space="preserve">150</w:t>
            </w:r>
          </w:p>
        </w:tc>
      </w:tr>
      <w:tr>
        <w:trPr>
          <w:tblHeader w:val="off"/>
        </w:trPr>
        <w:tc>
          <w:tcPr>
            <w:tcW w:type="dxa" w:w="2409"/>
            <w:tcMar>
              <w:top w:type="dxa" w:w="60"/>
              <w:left w:type="dxa" w:w="100"/>
              <w:bottom w:type="dxa" w:w="60"/>
              <w:right w:type="dxa" w:w="100"/>
            </w:tcMar>
          </w:tcPr>
          <w:p>
            <w:r>
              <w:rPr>
                <w:sz w:val="19"/>
                <w:szCs w:val="19"/>
              </w:rPr>
              <w:t xml:space="preserve">60 min</w:t>
            </w:r>
          </w:p>
        </w:tc>
        <w:tc>
          <w:tcPr>
            <w:tcW w:type="dxa" w:w="2409"/>
            <w:tcMar>
              <w:top w:type="dxa" w:w="60"/>
              <w:left w:type="dxa" w:w="100"/>
              <w:bottom w:type="dxa" w:w="60"/>
              <w:right w:type="dxa" w:w="100"/>
            </w:tcMar>
          </w:tcPr>
          <w:p>
            <w:r>
              <w:rPr>
                <w:sz w:val="19"/>
                <w:szCs w:val="19"/>
              </w:rPr>
              <w:t xml:space="preserve">4</w:t>
            </w:r>
          </w:p>
        </w:tc>
        <w:tc>
          <w:tcPr>
            <w:tcW w:type="dxa" w:w="2409"/>
            <w:tcMar>
              <w:top w:type="dxa" w:w="60"/>
              <w:left w:type="dxa" w:w="100"/>
              <w:bottom w:type="dxa" w:w="60"/>
              <w:right w:type="dxa" w:w="100"/>
            </w:tcMar>
          </w:tcPr>
          <w:p>
            <w:r>
              <w:rPr>
                <w:sz w:val="19"/>
                <w:szCs w:val="19"/>
              </w:rPr>
              <w:t xml:space="preserve">2x</w:t>
            </w:r>
          </w:p>
        </w:tc>
        <w:tc>
          <w:tcPr>
            <w:tcW w:type="dxa" w:w="2411"/>
            <w:tcMar>
              <w:top w:type="dxa" w:w="60"/>
              <w:left w:type="dxa" w:w="100"/>
              <w:bottom w:type="dxa" w:w="60"/>
              <w:right w:type="dxa" w:w="100"/>
            </w:tcMar>
          </w:tcPr>
          <w:p>
            <w:r>
              <w:rPr>
                <w:sz w:val="19"/>
                <w:szCs w:val="19"/>
              </w:rPr>
              <w:t xml:space="preserve">200</w:t>
            </w:r>
          </w:p>
        </w:tc>
      </w:tr>
    </w:tbl>
    <w:p/>
    <w:p>
      <w:pPr>
        <w:spacing w:after="120"/>
        <w:jc w:val="both"/>
      </w:pPr>
      <w:r>
        <w:t xml:space="preserve">3.4. Se o atraso impedir ou reduzir a Ocorrência de outro Locatário, o Locatário em atraso também responde pela </w:t>
      </w:r>
      <w:r>
        <w:rPr>
          <w:b/>
          <w:bCs/>
        </w:rPr>
        <w:t xml:space="preserve">indenização do Locatário prejudicado</w:t>
      </w:r>
      <w:r>
        <w:t xml:space="preserve">, limitada ao valor que a Plataforma reembolsar a este, além de eventual Advertência por violação de regras em caso de reincidência.</w:t>
      </w:r>
    </w:p>
    <w:p>
      <w:pPr>
        <w:pStyle w:val="Heading2"/>
      </w:pPr>
      <w:r>
        <w:t xml:space="preserve">4. Danos e limpeza extra</w:t>
      </w:r>
    </w:p>
    <w:p>
      <w:pPr>
        <w:spacing w:after="120"/>
        <w:jc w:val="both"/>
      </w:pPr>
      <w:r>
        <w:t xml:space="preserve">4.1. O Locatário responde pelos danos causados, por ação ou omissão, por si, por seus assistentes, Clientes Finais e visitantes, excluído o desgaste natural decorrente do uso normal.</w:t>
      </w:r>
    </w:p>
    <w:p>
      <w:pPr>
        <w:spacing w:after="120"/>
        <w:jc w:val="both"/>
      </w:pPr>
      <w:r>
        <w:t xml:space="preserve">4.2. O Anfitrião deve comprovar: (a) o estado anterior (fotos do Anúncio, fotos do check-in, registros de manutenção); (b) o dano ou a sujeira (fotos ou vídeos com data e hora); (c) o custo (orçamento de ao menos um fornecedor independente, nota fiscal ou recibo). Para equipamentos, considera-se o valor de reparo ou, se inviável, o valor de mercado de equipamento equivalente com depreciação razoável.</w:t>
      </w:r>
    </w:p>
    <w:p>
      <w:pPr>
        <w:spacing w:after="120"/>
        <w:jc w:val="both"/>
      </w:pPr>
      <w:r>
        <w:t xml:space="preserve">4.3. Limpeza extra é devida quando o Espaço exigir limpeza além da rotineira (por exemplo, resíduos biológicos fora do descarte adequado, manchas, lixo em excesso).</w:t>
      </w:r>
    </w:p>
    <w:p>
      <w:pPr>
        <w:spacing w:after="120"/>
        <w:jc w:val="both"/>
      </w:pPr>
      <w:r>
        <w:t xml:space="preserve">4.4. </w:t>
      </w:r>
      <w:r>
        <w:rPr>
          <w:b/>
          <w:bCs/>
        </w:rPr>
        <w:t xml:space="preserve">Cobrança só após mediação e comprovação.</w:t>
      </w:r>
      <w:r>
        <w:t xml:space="preserve"> Nenhum valor por dano ao patrimônio ou aos equipamentos é cobrado automaticamente. A cobrança ocorre somente: (a) se o Locatário reconhecer o dano e o valor; ou (b) depois do procedimento de Incidente da cláusula 5, quando a tentativa de acordo (mediação) resultar infrutífera e a Plataforma concluir, com base nas evidências das duas partes, que o dano foi </w:t>
      </w:r>
      <w:r>
        <w:rPr>
          <w:b/>
          <w:bCs/>
        </w:rPr>
        <w:t xml:space="preserve">comprovadamente causado</w:t>
      </w:r>
      <w:r>
        <w:t xml:space="preserve"> pelo Locatário ou por pessoa sob sua responsabilidade. Desgaste natural, defeitos preexistentes e danos sem causa comprovada não são cobrados do Locatário. A Caução é garantia parcial: se o dano comprovado for maior que ela, o Locatário responde pela diferença.</w:t>
      </w:r>
    </w:p>
    <w:p>
      <w:pPr>
        <w:pStyle w:val="Heading2"/>
      </w:pPr>
      <w:r>
        <w:t xml:space="preserve">5. Procedimento</w:t>
      </w:r>
    </w:p>
    <w:p>
      <w:pPr>
        <w:spacing w:after="120"/>
        <w:jc w:val="both"/>
      </w:pPr>
      <w:r>
        <w:t xml:space="preserve">5.1. </w:t>
      </w:r>
      <w:r>
        <w:rPr>
          <w:b/>
          <w:bCs/>
        </w:rPr>
        <w:t xml:space="preserve">Abertura.</w:t>
      </w:r>
      <w:r>
        <w:t xml:space="preserve"> O Incidente é aberto pela Central de Resolução, dentro do prazo de reporte, com descrição, evidências e valor solicitado.</w:t>
      </w:r>
    </w:p>
    <w:p>
      <w:pPr>
        <w:spacing w:after="120"/>
        <w:jc w:val="both"/>
      </w:pPr>
      <w:r>
        <w:t xml:space="preserve">5.2. </w:t>
      </w:r>
      <w:r>
        <w:rPr>
          <w:b/>
          <w:bCs/>
        </w:rPr>
        <w:t xml:space="preserve">Resposta.</w:t>
      </w:r>
      <w:r>
        <w:t xml:space="preserve"> A parte acusada é notificada e tem </w:t>
      </w:r>
      <w:r>
        <w:rPr>
          <w:b/>
          <w:bCs/>
        </w:rPr>
        <w:t xml:space="preserve">48 horas</w:t>
      </w:r>
      <w:r>
        <w:t xml:space="preserve"> para aceitar, contestar ou apresentar proposta, com suas próprias evidências. O silêncio pode ser interpretado como concordância, mas não dispensa a análise das evidências pela Plataforma.</w:t>
      </w:r>
    </w:p>
    <w:p>
      <w:pPr>
        <w:spacing w:after="120"/>
        <w:jc w:val="both"/>
      </w:pPr>
      <w:r>
        <w:t xml:space="preserve">5.3. </w:t>
      </w:r>
      <w:r>
        <w:rPr>
          <w:b/>
          <w:bCs/>
        </w:rPr>
        <w:t xml:space="preserve">Decisão.</w:t>
      </w:r>
      <w:r>
        <w:t xml:space="preserve"> A Plataforma decide de forma fundamentada, podendo reduzir, manter ou afastar a penalidade, e aplicar ou não Advertência. Cabe recurso em 7 dias conforme a Central de Resolução e Disputas.</w:t>
      </w:r>
    </w:p>
    <w:p>
      <w:pPr>
        <w:spacing w:after="120"/>
        <w:jc w:val="both"/>
      </w:pPr>
      <w:r>
        <w:t xml:space="preserve">5.4. </w:t>
      </w:r>
      <w:r>
        <w:rPr>
          <w:b/>
          <w:bCs/>
        </w:rPr>
        <w:t xml:space="preserve">Ordem de cobrança.</w:t>
      </w:r>
      <w:r>
        <w:t xml:space="preserve"> Valores reconhecidos ou decididos são cobrados nesta ordem:</w:t>
      </w:r>
    </w:p>
    <w:p>
      <w:pPr>
        <w:pStyle w:val="ListParagraph"/>
        <w:numPr>
          <w:ilvl w:val="0"/>
          <w:numId w:val="2"/>
        </w:numPr>
        <w:spacing w:after="60"/>
      </w:pPr>
      <w:r>
        <w:t xml:space="preserve">(1) </w:t>
      </w:r>
      <w:r>
        <w:rPr>
          <w:b/>
          <w:bCs/>
        </w:rPr>
        <w:t xml:space="preserve">Caução</w:t>
      </w:r>
      <w:r>
        <w:t xml:space="preserve"> pré-autorizada, quando ainda vigente;</w:t>
      </w:r>
    </w:p>
    <w:p>
      <w:pPr>
        <w:pStyle w:val="ListParagraph"/>
        <w:numPr>
          <w:ilvl w:val="0"/>
          <w:numId w:val="2"/>
        </w:numPr>
        <w:spacing w:after="60"/>
      </w:pPr>
      <w:r>
        <w:t xml:space="preserve">(2) </w:t>
      </w:r>
      <w:r>
        <w:rPr>
          <w:b/>
          <w:bCs/>
        </w:rPr>
        <w:t xml:space="preserve">meio de pagamento</w:t>
      </w:r>
      <w:r>
        <w:t xml:space="preserve"> cadastrado pelo Locatário;</w:t>
      </w:r>
    </w:p>
    <w:p>
      <w:pPr>
        <w:pStyle w:val="ListParagraph"/>
        <w:numPr>
          <w:ilvl w:val="0"/>
          <w:numId w:val="2"/>
        </w:numPr>
        <w:spacing w:after="60"/>
      </w:pPr>
      <w:r>
        <w:t xml:space="preserve">(3) </w:t>
      </w:r>
      <w:r>
        <w:rPr>
          <w:b/>
          <w:bCs/>
        </w:rPr>
        <w:t xml:space="preserve">Avalista</w:t>
      </w:r>
      <w:r>
        <w:t xml:space="preserve">, até o limite de sua responsabilidade.</w:t>
      </w:r>
    </w:p>
    <w:p>
      <w:pPr>
        <w:spacing w:after="120"/>
        <w:jc w:val="both"/>
      </w:pPr>
      <w:r>
        <w:t xml:space="preserve">5.5. Persistindo débito, a Plataforma pode suspender a conta até a quitação e adotar as medidas de cobrança admitidas em lei, sem inscrição em cadastros de inadimplentes sem prévia notificação nos termos da lei aplicável.</w:t>
      </w:r>
    </w:p>
    <w:p>
      <w:pPr>
        <w:spacing w:after="120"/>
        <w:jc w:val="both"/>
      </w:pPr>
      <w:r>
        <w:t xml:space="preserve">5.6. Os valores cobrados a título de dano, limpeza extra, multa de condomínio, atraso e penalidades percentuais são repassados ao Anfitrião (ou ao Locatário prejudicado, quando for o caso), deduzidos apenas custos de processamento de pagamento, quando cabível.</w:t>
      </w:r>
    </w:p>
    <w:p>
      <w:pPr>
        <w:pStyle w:val="Heading2"/>
      </w:pPr>
      <w:r>
        <w:t xml:space="preserve">6. Sistema de Advertências</w:t>
      </w:r>
    </w:p>
    <w:p>
      <w:pPr>
        <w:spacing w:after="120"/>
        <w:jc w:val="both"/>
      </w:pPr>
      <w:r>
        <w:t xml:space="preserve">6.1. Advertências são contadas em janela móvel de </w:t>
      </w:r>
      <w:r>
        <w:rPr>
          <w:b/>
          <w:bCs/>
        </w:rPr>
        <w:t xml:space="preserve">12 meses (365 dias)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6F2F1" w:color="auto" w:val="clear"/>
            <w:tcMar>
              <w:top w:type="dxa" w:w="60"/>
              <w:left w:type="dxa" w:w="100"/>
              <w:bottom w:type="dxa" w:w="60"/>
              <w:right w:type="dxa" w:w="100"/>
            </w:tcMar>
          </w:tcPr>
          <w:p>
            <w:r>
              <w:rPr>
                <w:b/>
                <w:bCs/>
                <w:sz w:val="19"/>
                <w:szCs w:val="19"/>
              </w:rPr>
              <w:t xml:space="preserve">Advertências nos últimos 12 meses</w:t>
            </w:r>
          </w:p>
        </w:tc>
        <w:tc>
          <w:tcPr>
            <w:tcW w:type="dxa" w:w="4819"/>
            <w:shd w:fill="E6F2F1" w:color="auto" w:val="clear"/>
            <w:tcMar>
              <w:top w:type="dxa" w:w="60"/>
              <w:left w:type="dxa" w:w="100"/>
              <w:bottom w:type="dxa" w:w="60"/>
              <w:right w:type="dxa" w:w="100"/>
            </w:tcMar>
          </w:tcPr>
          <w:p>
            <w:r>
              <w:rPr>
                <w:b/>
                <w:bCs/>
                <w:sz w:val="19"/>
                <w:szCs w:val="19"/>
              </w:rPr>
              <w:t xml:space="preserve">Consequência</w:t>
            </w:r>
          </w:p>
        </w:tc>
      </w:tr>
      <w:tr>
        <w:trPr>
          <w:tblHeader w:val="off"/>
        </w:trPr>
        <w:tc>
          <w:tcPr>
            <w:tcW w:type="dxa" w:w="4819"/>
            <w:tcMar>
              <w:top w:type="dxa" w:w="60"/>
              <w:left w:type="dxa" w:w="100"/>
              <w:bottom w:type="dxa" w:w="60"/>
              <w:right w:type="dxa" w:w="100"/>
            </w:tcMar>
          </w:tcPr>
          <w:p>
            <w:r>
              <w:rPr>
                <w:sz w:val="19"/>
                <w:szCs w:val="19"/>
              </w:rPr>
              <w:t xml:space="preserve">1 ou 2</w:t>
            </w:r>
          </w:p>
        </w:tc>
        <w:tc>
          <w:tcPr>
            <w:tcW w:type="dxa" w:w="4819"/>
            <w:tcMar>
              <w:top w:type="dxa" w:w="60"/>
              <w:left w:type="dxa" w:w="100"/>
              <w:bottom w:type="dxa" w:w="60"/>
              <w:right w:type="dxa" w:w="100"/>
            </w:tcMar>
          </w:tcPr>
          <w:p>
            <w:r>
              <w:rPr>
                <w:sz w:val="19"/>
                <w:szCs w:val="19"/>
              </w:rPr>
              <w:t xml:space="preserve">Registro no histórico e aviso por e-mail</w:t>
            </w:r>
          </w:p>
        </w:tc>
      </w:tr>
      <w:tr>
        <w:trPr>
          <w:tblHeader w:val="off"/>
        </w:trPr>
        <w:tc>
          <w:tcPr>
            <w:tcW w:type="dxa" w:w="4819"/>
            <w:tcMar>
              <w:top w:type="dxa" w:w="60"/>
              <w:left w:type="dxa" w:w="100"/>
              <w:bottom w:type="dxa" w:w="60"/>
              <w:right w:type="dxa" w:w="100"/>
            </w:tcMar>
          </w:tcPr>
          <w:p>
            <w:r>
              <w:rPr>
                <w:b/>
                <w:bCs/>
                <w:sz w:val="19"/>
                <w:szCs w:val="19"/>
              </w:rPr>
              <w:t xml:space="preserve">3</w:t>
            </w:r>
          </w:p>
        </w:tc>
        <w:tc>
          <w:tcPr>
            <w:tcW w:type="dxa" w:w="4819"/>
            <w:tcMar>
              <w:top w:type="dxa" w:w="60"/>
              <w:left w:type="dxa" w:w="100"/>
              <w:bottom w:type="dxa" w:w="60"/>
              <w:right w:type="dxa" w:w="100"/>
            </w:tcMar>
          </w:tcPr>
          <w:p>
            <w:r>
              <w:rPr>
                <w:b/>
                <w:bCs/>
                <w:sz w:val="19"/>
                <w:szCs w:val="19"/>
              </w:rPr>
              <w:t xml:space="preserve">Suspensão por 90 dias</w:t>
            </w:r>
            <w:r>
              <w:rPr>
                <w:sz w:val="19"/>
                <w:szCs w:val="19"/>
              </w:rPr>
              <w:t xml:space="preserve"> (não pode fazer novas Reservas nem publicar/receber Reservas, conforme o papel)</w:t>
            </w:r>
          </w:p>
        </w:tc>
      </w:tr>
      <w:tr>
        <w:trPr>
          <w:tblHeader w:val="off"/>
        </w:trPr>
        <w:tc>
          <w:tcPr>
            <w:tcW w:type="dxa" w:w="4819"/>
            <w:tcMar>
              <w:top w:type="dxa" w:w="60"/>
              <w:left w:type="dxa" w:w="100"/>
              <w:bottom w:type="dxa" w:w="60"/>
              <w:right w:type="dxa" w:w="100"/>
            </w:tcMar>
          </w:tcPr>
          <w:p>
            <w:r>
              <w:rPr>
                <w:b/>
                <w:bCs/>
                <w:sz w:val="19"/>
                <w:szCs w:val="19"/>
              </w:rPr>
              <w:t xml:space="preserve">5</w:t>
            </w:r>
          </w:p>
        </w:tc>
        <w:tc>
          <w:tcPr>
            <w:tcW w:type="dxa" w:w="4819"/>
            <w:tcMar>
              <w:top w:type="dxa" w:w="60"/>
              <w:left w:type="dxa" w:w="100"/>
              <w:bottom w:type="dxa" w:w="60"/>
              <w:right w:type="dxa" w:w="100"/>
            </w:tcMar>
          </w:tcPr>
          <w:p>
            <w:r>
              <w:rPr>
                <w:b/>
                <w:bCs/>
                <w:sz w:val="19"/>
                <w:szCs w:val="19"/>
              </w:rPr>
              <w:t xml:space="preserve">Exclusão definitiva</w:t>
            </w:r>
            <w:r>
              <w:rPr>
                <w:sz w:val="19"/>
                <w:szCs w:val="19"/>
              </w:rPr>
              <w:t xml:space="preserve"> da conta</w:t>
            </w:r>
          </w:p>
        </w:tc>
      </w:tr>
    </w:tbl>
    <w:p/>
    <w:p>
      <w:pPr>
        <w:spacing w:after="120"/>
        <w:jc w:val="both"/>
      </w:pPr>
      <w:r>
        <w:t xml:space="preserve">6.2. </w:t>
      </w:r>
      <w:r>
        <w:rPr>
          <w:b/>
          <w:bCs/>
        </w:rPr>
        <w:t xml:space="preserve">Faltas graves</w:t>
      </w:r>
      <w:r>
        <w:t xml:space="preserve"> — sublocação, assédio ou discriminação, pagamento fora da Plataforma, risco à segurança e exercício ilegal de profissão (cláusula 6.5) — podem levar à </w:t>
      </w:r>
      <w:r>
        <w:rPr>
          <w:b/>
          <w:bCs/>
        </w:rPr>
        <w:t xml:space="preserve">exclusão imediata</w:t>
      </w:r>
      <w:r>
        <w:t xml:space="preserve">, independentemente do número de Advertências.</w:t>
      </w:r>
    </w:p>
    <w:p>
      <w:pPr>
        <w:spacing w:after="120"/>
        <w:jc w:val="both"/>
      </w:pPr>
      <w:r>
        <w:t xml:space="preserve">6.3. Durante a suspensão, as Reservas futuras já confirmadas podem ser canceladas pela Plataforma, com reembolso integral à contraparte inocente.</w:t>
      </w:r>
    </w:p>
    <w:p>
      <w:pPr>
        <w:spacing w:after="120"/>
        <w:jc w:val="both"/>
      </w:pPr>
      <w:r>
        <w:t xml:space="preserve">6.4. Advertências decorrentes de decisão revertida em recurso são removidas.</w:t>
      </w:r>
    </w:p>
    <w:p>
      <w:pPr>
        <w:spacing w:after="120"/>
        <w:jc w:val="both"/>
      </w:pPr>
      <w:r>
        <w:t xml:space="preserve">6.5. </w:t>
      </w:r>
      <w:r>
        <w:rPr>
          <w:b/>
          <w:bCs/>
        </w:rPr>
        <w:t xml:space="preserve">Exercício ilegal de profissão.</w:t>
      </w:r>
      <w:r>
        <w:t xml:space="preserve"> O exercício de profissão regulamentada sem habilitação válida e ativa, fora de seus limites ou mediante registro de terceiro ou documento falso leva, sempre:</w:t>
      </w:r>
    </w:p>
    <w:p>
      <w:pPr>
        <w:pStyle w:val="ListParagraph"/>
        <w:numPr>
          <w:ilvl w:val="0"/>
          <w:numId w:val="2"/>
        </w:numPr>
        <w:spacing w:after="60"/>
      </w:pPr>
      <w:r>
        <w:t xml:space="preserve">(a) à </w:t>
      </w:r>
      <w:r>
        <w:rPr>
          <w:b/>
          <w:bCs/>
        </w:rPr>
        <w:t xml:space="preserve">exclusão imediata e definitiva</w:t>
      </w:r>
      <w:r>
        <w:t xml:space="preserve"> da conta do Locatário, com cancelamento das Reservas futuras e impedimento de novo cadastro;</w:t>
      </w:r>
    </w:p>
    <w:p>
      <w:pPr>
        <w:pStyle w:val="ListParagraph"/>
        <w:numPr>
          <w:ilvl w:val="0"/>
          <w:numId w:val="2"/>
        </w:numPr>
        <w:spacing w:after="60"/>
      </w:pPr>
      <w:r>
        <w:t xml:space="preserve">(b) à </w:t>
      </w:r>
      <w:r>
        <w:rPr>
          <w:b/>
          <w:bCs/>
        </w:rPr>
        <w:t xml:space="preserve">comunicação do fato às autoridades</w:t>
      </w:r>
      <w:r>
        <w:t xml:space="preserve"> policiais, sanitárias ou judiciais e ao órgão profissional competente, com as evidências disponíveis, observada a legislação de proteção de dados (no Brasil, por exemplo, Código Penal, art. 282, e Lei das Contravenções Penais, art. 47);</w:t>
      </w:r>
    </w:p>
    <w:p>
      <w:pPr>
        <w:pStyle w:val="ListParagraph"/>
        <w:numPr>
          <w:ilvl w:val="0"/>
          <w:numId w:val="2"/>
        </w:numPr>
        <w:spacing w:after="60"/>
      </w:pPr>
      <w:r>
        <w:t xml:space="preserve">(c) à responsabilidade integral do Locatário pelos prejuízos causados ao Anfitrião, à Operadora, a Clientes Finais e a terceiros.</w:t>
      </w:r>
    </w:p>
    <w:p>
      <w:pPr>
        <w:spacing w:after="120"/>
        <w:jc w:val="both"/>
      </w:pPr>
      <w:r>
        <w:t xml:space="preserve">O </w:t>
      </w:r>
      <w:r>
        <w:rPr>
          <w:b/>
          <w:bCs/>
        </w:rPr>
        <w:t xml:space="preserve">Anfitrião que, conscientemente, permitir</w:t>
      </w:r>
      <w:r>
        <w:t xml:space="preserve"> esse uso também tem sua conta </w:t>
      </w:r>
      <w:r>
        <w:rPr>
          <w:b/>
          <w:bCs/>
        </w:rPr>
        <w:t xml:space="preserve">excluída definitivamente</w:t>
      </w:r>
      <w:r>
        <w:t xml:space="preserve">, podendo o fato ser comunicado às autoridades. Não se considera conivente o Anfitrião que confirmou a habilitação conforme Obrigações do Anfitrião, cláusula 3.4, e foi induzido a erro por documento falso. A aplicação destas medidas é revisada por pessoa e pode ser objeto de recurso (Central de Resolução e Disputas), sem efeito suspensivo.</w:t>
      </w:r>
    </w:p>
    <w:p>
      <w:pPr>
        <w:pStyle w:val="Heading2"/>
      </w:pPr>
      <w:r>
        <w:t xml:space="preserve">7. Penalidades aplicáveis ao Anfitrião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shd w:fill="E6F2F1" w:color="auto" w:val="clear"/>
            <w:tcMar>
              <w:top w:type="dxa" w:w="60"/>
              <w:left w:type="dxa" w:w="100"/>
              <w:bottom w:type="dxa" w:w="60"/>
              <w:right w:type="dxa" w:w="100"/>
            </w:tcMar>
          </w:tcPr>
          <w:p>
            <w:r>
              <w:rPr>
                <w:b/>
                <w:bCs/>
                <w:sz w:val="19"/>
                <w:szCs w:val="19"/>
              </w:rPr>
              <w:t xml:space="preserve">Infração</w:t>
            </w:r>
          </w:p>
        </w:tc>
        <w:tc>
          <w:tcPr>
            <w:tcW w:type="dxa" w:w="2409"/>
            <w:shd w:fill="E6F2F1" w:color="auto" w:val="clear"/>
            <w:tcMar>
              <w:top w:type="dxa" w:w="60"/>
              <w:left w:type="dxa" w:w="100"/>
              <w:bottom w:type="dxa" w:w="60"/>
              <w:right w:type="dxa" w:w="100"/>
            </w:tcMar>
          </w:tcPr>
          <w:p>
            <w:r>
              <w:rPr>
                <w:b/>
                <w:bCs/>
                <w:sz w:val="19"/>
                <w:szCs w:val="19"/>
              </w:rPr>
              <w:t xml:space="preserve">Consequência</w:t>
            </w:r>
          </w:p>
        </w:tc>
        <w:tc>
          <w:tcPr>
            <w:tcW w:type="dxa" w:w="2409"/>
            <w:shd w:fill="E6F2F1" w:color="auto" w:val="clear"/>
            <w:tcMar>
              <w:top w:type="dxa" w:w="60"/>
              <w:left w:type="dxa" w:w="100"/>
              <w:bottom w:type="dxa" w:w="60"/>
              <w:right w:type="dxa" w:w="100"/>
            </w:tcMar>
          </w:tcPr>
          <w:p>
            <w:r>
              <w:rPr>
                <w:b/>
                <w:bCs/>
                <w:sz w:val="19"/>
                <w:szCs w:val="19"/>
              </w:rPr>
              <w:t xml:space="preserve">Advertência</w:t>
            </w:r>
          </w:p>
        </w:tc>
        <w:tc>
          <w:tcPr>
            <w:tcW w:type="dxa" w:w="2411"/>
            <w:shd w:fill="E6F2F1" w:color="auto" w:val="clear"/>
            <w:tcMar>
              <w:top w:type="dxa" w:w="60"/>
              <w:left w:type="dxa" w:w="100"/>
              <w:bottom w:type="dxa" w:w="60"/>
              <w:right w:type="dxa" w:w="100"/>
            </w:tcMar>
          </w:tcPr>
          <w:p>
            <w:r>
              <w:rPr>
                <w:b/>
                <w:bCs/>
                <w:sz w:val="19"/>
                <w:szCs w:val="19"/>
              </w:rPr>
              <w:t xml:space="preserve">Prazo para o Locatário reportar</w:t>
            </w:r>
          </w:p>
        </w:tc>
      </w:tr>
      <w:tr>
        <w:trPr>
          <w:tblHeader w:val="off"/>
        </w:trPr>
        <w:tc>
          <w:tcPr>
            <w:tcW w:type="dxa" w:w="2409"/>
            <w:tcMar>
              <w:top w:type="dxa" w:w="60"/>
              <w:left w:type="dxa" w:w="100"/>
              <w:bottom w:type="dxa" w:w="60"/>
              <w:right w:type="dxa" w:w="100"/>
            </w:tcMar>
          </w:tcPr>
          <w:p>
            <w:r>
              <w:rPr>
                <w:b/>
                <w:bCs/>
                <w:sz w:val="19"/>
                <w:szCs w:val="19"/>
              </w:rPr>
              <w:t xml:space="preserve">Anúncio impreciso</w:t>
            </w:r>
            <w:r>
              <w:rPr>
                <w:sz w:val="19"/>
                <w:szCs w:val="19"/>
              </w:rPr>
              <w:t xml:space="preserve"> (Espaço, equipamentos, capacidade ou condições significativamente diferentes do anunciado)</w:t>
            </w:r>
          </w:p>
        </w:tc>
        <w:tc>
          <w:tcPr>
            <w:tcW w:type="dxa" w:w="2409"/>
            <w:tcMar>
              <w:top w:type="dxa" w:w="60"/>
              <w:left w:type="dxa" w:w="100"/>
              <w:bottom w:type="dxa" w:w="60"/>
              <w:right w:type="dxa" w:w="100"/>
            </w:tcMar>
          </w:tcPr>
          <w:p>
            <w:r>
              <w:rPr>
                <w:sz w:val="19"/>
                <w:szCs w:val="19"/>
              </w:rPr>
              <w:t xml:space="preserve">Reembolso ao Locatário proporcional ao prejuízo, até 100% da Ocorrência afetada; obrigação de corrigir o Anúncio</w:t>
            </w:r>
          </w:p>
        </w:tc>
        <w:tc>
          <w:tcPr>
            <w:tcW w:type="dxa" w:w="2409"/>
            <w:tcMar>
              <w:top w:type="dxa" w:w="60"/>
              <w:left w:type="dxa" w:w="100"/>
              <w:bottom w:type="dxa" w:w="60"/>
              <w:right w:type="dxa" w:w="100"/>
            </w:tcMar>
          </w:tcPr>
          <w:p>
            <w:r>
              <w:rPr>
                <w:sz w:val="19"/>
                <w:szCs w:val="19"/>
              </w:rPr>
              <w:t xml:space="preserve">Sim</w:t>
            </w:r>
          </w:p>
        </w:tc>
        <w:tc>
          <w:tcPr>
            <w:tcW w:type="dxa" w:w="2411"/>
            <w:tcMar>
              <w:top w:type="dxa" w:w="60"/>
              <w:left w:type="dxa" w:w="100"/>
              <w:bottom w:type="dxa" w:w="60"/>
              <w:right w:type="dxa" w:w="100"/>
            </w:tcMar>
          </w:tcPr>
          <w:p>
            <w:r>
              <w:rPr>
                <w:sz w:val="19"/>
                <w:szCs w:val="19"/>
              </w:rPr>
              <w:t xml:space="preserve">24 horas</w:t>
            </w:r>
          </w:p>
        </w:tc>
      </w:tr>
      <w:tr>
        <w:trPr>
          <w:tblHeader w:val="off"/>
        </w:trPr>
        <w:tc>
          <w:tcPr>
            <w:tcW w:type="dxa" w:w="2409"/>
            <w:tcMar>
              <w:top w:type="dxa" w:w="60"/>
              <w:left w:type="dxa" w:w="100"/>
              <w:bottom w:type="dxa" w:w="60"/>
              <w:right w:type="dxa" w:w="100"/>
            </w:tcMar>
          </w:tcPr>
          <w:p>
            <w:r>
              <w:rPr>
                <w:b/>
                <w:bCs/>
                <w:sz w:val="19"/>
                <w:szCs w:val="19"/>
              </w:rPr>
              <w:t xml:space="preserve">Falta de acesso</w:t>
            </w:r>
            <w:r>
              <w:rPr>
                <w:sz w:val="19"/>
                <w:szCs w:val="19"/>
              </w:rPr>
              <w:t xml:space="preserve"> (Espaço fechado, sem chave, ocupado por terceiros)</w:t>
            </w:r>
          </w:p>
        </w:tc>
        <w:tc>
          <w:tcPr>
            <w:tcW w:type="dxa" w:w="2409"/>
            <w:tcMar>
              <w:top w:type="dxa" w:w="60"/>
              <w:left w:type="dxa" w:w="100"/>
              <w:bottom w:type="dxa" w:w="60"/>
              <w:right w:type="dxa" w:w="100"/>
            </w:tcMar>
          </w:tcPr>
          <w:p>
            <w:r>
              <w:rPr>
                <w:sz w:val="19"/>
                <w:szCs w:val="19"/>
              </w:rPr>
              <w:t xml:space="preserve">Reembolso de 100% da Ocorrência ao Locatário</w:t>
            </w:r>
          </w:p>
        </w:tc>
        <w:tc>
          <w:tcPr>
            <w:tcW w:type="dxa" w:w="2409"/>
            <w:tcMar>
              <w:top w:type="dxa" w:w="60"/>
              <w:left w:type="dxa" w:w="100"/>
              <w:bottom w:type="dxa" w:w="60"/>
              <w:right w:type="dxa" w:w="100"/>
            </w:tcMar>
          </w:tcPr>
          <w:p>
            <w:r>
              <w:rPr>
                <w:sz w:val="19"/>
                <w:szCs w:val="19"/>
              </w:rPr>
              <w:t xml:space="preserve">Sim</w:t>
            </w:r>
          </w:p>
        </w:tc>
        <w:tc>
          <w:tcPr>
            <w:tcW w:type="dxa" w:w="2411"/>
            <w:tcMar>
              <w:top w:type="dxa" w:w="60"/>
              <w:left w:type="dxa" w:w="100"/>
              <w:bottom w:type="dxa" w:w="60"/>
              <w:right w:type="dxa" w:w="100"/>
            </w:tcMar>
          </w:tcPr>
          <w:p>
            <w:r>
              <w:rPr>
                <w:sz w:val="19"/>
                <w:szCs w:val="19"/>
              </w:rPr>
              <w:t xml:space="preserve">24 horas</w:t>
            </w:r>
          </w:p>
        </w:tc>
      </w:tr>
      <w:tr>
        <w:trPr>
          <w:tblHeader w:val="off"/>
        </w:trPr>
        <w:tc>
          <w:tcPr>
            <w:tcW w:type="dxa" w:w="2409"/>
            <w:tcMar>
              <w:top w:type="dxa" w:w="60"/>
              <w:left w:type="dxa" w:w="100"/>
              <w:bottom w:type="dxa" w:w="60"/>
              <w:right w:type="dxa" w:w="100"/>
            </w:tcMar>
          </w:tcPr>
          <w:p>
            <w:r>
              <w:rPr>
                <w:b/>
                <w:bCs/>
                <w:sz w:val="19"/>
                <w:szCs w:val="19"/>
              </w:rPr>
              <w:t xml:space="preserve">Segurança</w:t>
            </w:r>
            <w:r>
              <w:rPr>
                <w:sz w:val="19"/>
                <w:szCs w:val="19"/>
              </w:rPr>
              <w:t xml:space="preserve"> (risco à integridade física, instalações irregulares, equipamento perigoso)</w:t>
            </w:r>
          </w:p>
        </w:tc>
        <w:tc>
          <w:tcPr>
            <w:tcW w:type="dxa" w:w="2409"/>
            <w:tcMar>
              <w:top w:type="dxa" w:w="60"/>
              <w:left w:type="dxa" w:w="100"/>
              <w:bottom w:type="dxa" w:w="60"/>
              <w:right w:type="dxa" w:w="100"/>
            </w:tcMar>
          </w:tcPr>
          <w:p>
            <w:r>
              <w:rPr>
                <w:sz w:val="19"/>
                <w:szCs w:val="19"/>
              </w:rPr>
              <w:t xml:space="preserve">Suspensão imediata do Anúncio; possível exclusão</w:t>
            </w:r>
          </w:p>
        </w:tc>
        <w:tc>
          <w:tcPr>
            <w:tcW w:type="dxa" w:w="2409"/>
            <w:tcMar>
              <w:top w:type="dxa" w:w="60"/>
              <w:left w:type="dxa" w:w="100"/>
              <w:bottom w:type="dxa" w:w="60"/>
              <w:right w:type="dxa" w:w="100"/>
            </w:tcMar>
          </w:tcPr>
          <w:p>
            <w:r>
              <w:rPr>
                <w:sz w:val="19"/>
                <w:szCs w:val="19"/>
              </w:rPr>
              <w:t xml:space="preserve">Sim — falta grave</w:t>
            </w:r>
          </w:p>
        </w:tc>
        <w:tc>
          <w:tcPr>
            <w:tcW w:type="dxa" w:w="2411"/>
            <w:tcMar>
              <w:top w:type="dxa" w:w="60"/>
              <w:left w:type="dxa" w:w="100"/>
              <w:bottom w:type="dxa" w:w="60"/>
              <w:right w:type="dxa" w:w="100"/>
            </w:tcMar>
          </w:tcPr>
          <w:p>
            <w:r>
              <w:rPr>
                <w:sz w:val="19"/>
                <w:szCs w:val="19"/>
              </w:rPr>
              <w:t xml:space="preserve">72 horas</w:t>
            </w:r>
          </w:p>
        </w:tc>
      </w:tr>
      <w:tr>
        <w:trPr>
          <w:tblHeader w:val="off"/>
        </w:trPr>
        <w:tc>
          <w:tcPr>
            <w:tcW w:type="dxa" w:w="2409"/>
            <w:tcMar>
              <w:top w:type="dxa" w:w="60"/>
              <w:left w:type="dxa" w:w="100"/>
              <w:bottom w:type="dxa" w:w="60"/>
              <w:right w:type="dxa" w:w="100"/>
            </w:tcMar>
          </w:tcPr>
          <w:p>
            <w:r>
              <w:rPr>
                <w:b/>
                <w:bCs/>
                <w:sz w:val="19"/>
                <w:szCs w:val="19"/>
              </w:rPr>
              <w:t xml:space="preserve">Cancelamento pelo Anfitrião</w:t>
            </w:r>
          </w:p>
        </w:tc>
        <w:tc>
          <w:tcPr>
            <w:tcW w:type="dxa" w:w="2409"/>
            <w:tcMar>
              <w:top w:type="dxa" w:w="60"/>
              <w:left w:type="dxa" w:w="100"/>
              <w:bottom w:type="dxa" w:w="60"/>
              <w:right w:type="dxa" w:w="100"/>
            </w:tcMar>
          </w:tcPr>
          <w:p>
            <w:r>
              <w:rPr>
                <w:sz w:val="19"/>
                <w:szCs w:val="19"/>
              </w:rPr>
              <w:t xml:space="preserve">Multa de 0%, 10% ou 25% do Valor Base, conforme antecedência (Política de Cancelamento)</w:t>
            </w:r>
          </w:p>
        </w:tc>
        <w:tc>
          <w:tcPr>
            <w:tcW w:type="dxa" w:w="2409"/>
            <w:tcMar>
              <w:top w:type="dxa" w:w="60"/>
              <w:left w:type="dxa" w:w="100"/>
              <w:bottom w:type="dxa" w:w="60"/>
              <w:right w:type="dxa" w:w="100"/>
            </w:tcMar>
          </w:tcPr>
          <w:p>
            <w:r>
              <w:rPr>
                <w:sz w:val="19"/>
                <w:szCs w:val="19"/>
              </w:rPr>
              <w:t xml:space="preserve">Sim</w:t>
            </w:r>
          </w:p>
        </w:tc>
        <w:tc>
          <w:tcPr>
            <w:tcW w:type="dxa" w:w="2411"/>
            <w:tcMar>
              <w:top w:type="dxa" w:w="60"/>
              <w:left w:type="dxa" w:w="100"/>
              <w:bottom w:type="dxa" w:w="60"/>
              <w:right w:type="dxa" w:w="100"/>
            </w:tcMar>
          </w:tcPr>
          <w:p>
            <w:r>
              <w:rPr>
                <w:sz w:val="19"/>
                <w:szCs w:val="19"/>
              </w:rPr>
              <w:t xml:space="preserve">—</w:t>
            </w:r>
          </w:p>
        </w:tc>
      </w:tr>
      <w:tr>
        <w:trPr>
          <w:tblHeader w:val="off"/>
        </w:trPr>
        <w:tc>
          <w:tcPr>
            <w:tcW w:type="dxa" w:w="2409"/>
            <w:tcMar>
              <w:top w:type="dxa" w:w="60"/>
              <w:left w:type="dxa" w:w="100"/>
              <w:bottom w:type="dxa" w:w="60"/>
              <w:right w:type="dxa" w:w="100"/>
            </w:tcMar>
          </w:tcPr>
          <w:p>
            <w:r>
              <w:rPr>
                <w:sz w:val="19"/>
                <w:szCs w:val="19"/>
              </w:rPr>
              <w:t xml:space="preserve">Assédio, discriminação ou pagamento fora da Plataforma</w:t>
            </w:r>
          </w:p>
        </w:tc>
        <w:tc>
          <w:tcPr>
            <w:tcW w:type="dxa" w:w="2409"/>
            <w:tcMar>
              <w:top w:type="dxa" w:w="60"/>
              <w:left w:type="dxa" w:w="100"/>
              <w:bottom w:type="dxa" w:w="60"/>
              <w:right w:type="dxa" w:w="100"/>
            </w:tcMar>
          </w:tcPr>
          <w:p>
            <w:r>
              <w:rPr>
                <w:sz w:val="19"/>
                <w:szCs w:val="19"/>
              </w:rPr>
              <w:t xml:space="preserve">Exclusão</w:t>
            </w:r>
          </w:p>
        </w:tc>
        <w:tc>
          <w:tcPr>
            <w:tcW w:type="dxa" w:w="2409"/>
            <w:tcMar>
              <w:top w:type="dxa" w:w="60"/>
              <w:left w:type="dxa" w:w="100"/>
              <w:bottom w:type="dxa" w:w="60"/>
              <w:right w:type="dxa" w:w="100"/>
            </w:tcMar>
          </w:tcPr>
          <w:p>
            <w:r>
              <w:rPr>
                <w:sz w:val="19"/>
                <w:szCs w:val="19"/>
              </w:rPr>
              <w:t xml:space="preserve">Sim — falta grave</w:t>
            </w:r>
          </w:p>
        </w:tc>
        <w:tc>
          <w:tcPr>
            <w:tcW w:type="dxa" w:w="2411"/>
            <w:tcMar>
              <w:top w:type="dxa" w:w="60"/>
              <w:left w:type="dxa" w:w="100"/>
              <w:bottom w:type="dxa" w:w="60"/>
              <w:right w:type="dxa" w:w="100"/>
            </w:tcMar>
          </w:tcPr>
          <w:p>
            <w:r>
              <w:rPr>
                <w:sz w:val="19"/>
                <w:szCs w:val="19"/>
              </w:rPr>
              <w:t xml:space="preserve">30 dias</w:t>
            </w:r>
          </w:p>
        </w:tc>
      </w:tr>
      <w:tr>
        <w:trPr>
          <w:tblHeader w:val="off"/>
        </w:trPr>
        <w:tc>
          <w:tcPr>
            <w:tcW w:type="dxa" w:w="2409"/>
            <w:tcMar>
              <w:top w:type="dxa" w:w="60"/>
              <w:left w:type="dxa" w:w="100"/>
              <w:bottom w:type="dxa" w:w="60"/>
              <w:right w:type="dxa" w:w="100"/>
            </w:tcMar>
          </w:tcPr>
          <w:p>
            <w:r>
              <w:rPr>
                <w:b/>
                <w:bCs/>
                <w:sz w:val="19"/>
                <w:szCs w:val="19"/>
              </w:rPr>
              <w:t xml:space="preserve">Permitir conscientemente</w:t>
            </w:r>
            <w:r>
              <w:rPr>
                <w:sz w:val="19"/>
                <w:szCs w:val="19"/>
              </w:rPr>
              <w:t xml:space="preserve"> o uso de Espaço regulado por pessoa sem habilitação legal</w:t>
            </w:r>
          </w:p>
        </w:tc>
        <w:tc>
          <w:tcPr>
            <w:tcW w:type="dxa" w:w="2409"/>
            <w:tcMar>
              <w:top w:type="dxa" w:w="60"/>
              <w:left w:type="dxa" w:w="100"/>
              <w:bottom w:type="dxa" w:w="60"/>
              <w:right w:type="dxa" w:w="100"/>
            </w:tcMar>
          </w:tcPr>
          <w:p>
            <w:r>
              <w:rPr>
                <w:b/>
                <w:bCs/>
                <w:sz w:val="19"/>
                <w:szCs w:val="19"/>
              </w:rPr>
              <w:t xml:space="preserve">Exclusão imediata e definitiva</w:t>
            </w:r>
            <w:r>
              <w:rPr>
                <w:sz w:val="19"/>
                <w:szCs w:val="19"/>
              </w:rPr>
              <w:t xml:space="preserve"> da conta; possível comunicação às autoridades (cláusula 6.5)</w:t>
            </w:r>
          </w:p>
        </w:tc>
        <w:tc>
          <w:tcPr>
            <w:tcW w:type="dxa" w:w="2409"/>
            <w:tcMar>
              <w:top w:type="dxa" w:w="60"/>
              <w:left w:type="dxa" w:w="100"/>
              <w:bottom w:type="dxa" w:w="60"/>
              <w:right w:type="dxa" w:w="100"/>
            </w:tcMar>
          </w:tcPr>
          <w:p>
            <w:r>
              <w:rPr>
                <w:sz w:val="19"/>
                <w:szCs w:val="19"/>
              </w:rPr>
              <w:t xml:space="preserve">Sim — falta grave</w:t>
            </w:r>
          </w:p>
        </w:tc>
        <w:tc>
          <w:tcPr>
            <w:tcW w:type="dxa" w:w="2411"/>
            <w:tcMar>
              <w:top w:type="dxa" w:w="60"/>
              <w:left w:type="dxa" w:w="100"/>
              <w:bottom w:type="dxa" w:w="60"/>
              <w:right w:type="dxa" w:w="100"/>
            </w:tcMar>
          </w:tcPr>
          <w:p>
            <w:r>
              <w:rPr>
                <w:sz w:val="19"/>
                <w:szCs w:val="19"/>
              </w:rPr>
              <w:t xml:space="preserve">A qualquer tempo</w:t>
            </w:r>
          </w:p>
        </w:tc>
      </w:tr>
      <w:tr>
        <w:trPr>
          <w:tblHeader w:val="off"/>
        </w:trPr>
        <w:tc>
          <w:tcPr>
            <w:tcW w:type="dxa" w:w="2409"/>
            <w:tcMar>
              <w:top w:type="dxa" w:w="60"/>
              <w:left w:type="dxa" w:w="100"/>
              <w:bottom w:type="dxa" w:w="60"/>
              <w:right w:type="dxa" w:w="100"/>
            </w:tcMar>
          </w:tcPr>
          <w:p>
            <w:r>
              <w:rPr>
                <w:b/>
                <w:bCs/>
                <w:sz w:val="19"/>
                <w:szCs w:val="19"/>
              </w:rPr>
              <w:t xml:space="preserve">Fotos enganosas</w:t>
            </w:r>
            <w:r>
              <w:rPr>
                <w:sz w:val="19"/>
                <w:szCs w:val="19"/>
              </w:rPr>
              <w:t xml:space="preserve"> ou que exponham pessoas, pacientes ou documentos identificáveis</w:t>
            </w:r>
          </w:p>
        </w:tc>
        <w:tc>
          <w:tcPr>
            <w:tcW w:type="dxa" w:w="2409"/>
            <w:tcMar>
              <w:top w:type="dxa" w:w="60"/>
              <w:left w:type="dxa" w:w="100"/>
              <w:bottom w:type="dxa" w:w="60"/>
              <w:right w:type="dxa" w:w="100"/>
            </w:tcMar>
          </w:tcPr>
          <w:p>
            <w:r>
              <w:rPr>
                <w:sz w:val="19"/>
                <w:szCs w:val="19"/>
              </w:rPr>
              <w:t xml:space="preserve">Remoção das fotos; se enganosas, tratamento como Anúncio impreciso</w:t>
            </w:r>
          </w:p>
        </w:tc>
        <w:tc>
          <w:tcPr>
            <w:tcW w:type="dxa" w:w="2409"/>
            <w:tcMar>
              <w:top w:type="dxa" w:w="60"/>
              <w:left w:type="dxa" w:w="100"/>
              <w:bottom w:type="dxa" w:w="60"/>
              <w:right w:type="dxa" w:w="100"/>
            </w:tcMar>
          </w:tcPr>
          <w:p>
            <w:r>
              <w:rPr>
                <w:sz w:val="19"/>
                <w:szCs w:val="19"/>
              </w:rPr>
              <w:t xml:space="preserve">Sim, se enganosas</w:t>
            </w:r>
          </w:p>
        </w:tc>
        <w:tc>
          <w:tcPr>
            <w:tcW w:type="dxa" w:w="2411"/>
            <w:tcMar>
              <w:top w:type="dxa" w:w="60"/>
              <w:left w:type="dxa" w:w="100"/>
              <w:bottom w:type="dxa" w:w="60"/>
              <w:right w:type="dxa" w:w="100"/>
            </w:tcMar>
          </w:tcPr>
          <w:p>
            <w:r>
              <w:rPr>
                <w:sz w:val="19"/>
                <w:szCs w:val="19"/>
              </w:rPr>
              <w:t xml:space="preserve">24 horas (Anúncio impreciso)</w:t>
            </w:r>
          </w:p>
        </w:tc>
      </w:tr>
    </w:tbl>
    <w:p/>
    <w:p>
      <w:pPr>
        <w:spacing w:after="120"/>
        <w:jc w:val="both"/>
      </w:pPr>
      <w:r>
        <w:t xml:space="preserve">7.1. </w:t>
      </w:r>
      <w:r>
        <w:rPr>
          <w:b/>
          <w:bCs/>
        </w:rPr>
        <w:t xml:space="preserve">3 cancelamentos pelo Anfitrião em 12 meses</w:t>
      </w:r>
      <w:r>
        <w:t xml:space="preserve"> levam à suspensão da conta de Anfitrião, aplicando-se o mesmo sistema de Advertências da cláusula 6.</w:t>
      </w:r>
    </w:p>
    <w:p>
      <w:pPr>
        <w:spacing w:after="120"/>
        <w:jc w:val="both"/>
      </w:pPr>
      <w:r>
        <w:t xml:space="preserve">7.2. Reembolsos devidos ao Locatário por falha do Anfitrião são descontados dos repasses do Anfitrião ou cobrados dele.</w:t>
      </w:r>
    </w:p>
    <w:p>
      <w:pPr>
        <w:pStyle w:val="Heading2"/>
      </w:pPr>
      <w:r>
        <w:t xml:space="preserve">8. Limites de razoabilidade e leis locais</w:t>
      </w:r>
    </w:p>
    <w:p>
      <w:pPr>
        <w:spacing w:after="120"/>
        <w:jc w:val="both"/>
      </w:pPr>
      <w:r>
        <w:t xml:space="preserve">8.1. Nenhuma penalidade será aplicada em valor ou forma que a lei aplicável considere abusiva ou desproporcional. Em especial:</w:t>
      </w:r>
    </w:p>
    <w:p>
      <w:pPr>
        <w:pStyle w:val="ListParagraph"/>
        <w:numPr>
          <w:ilvl w:val="0"/>
          <w:numId w:val="2"/>
        </w:numPr>
        <w:spacing w:after="60"/>
      </w:pPr>
      <w:r>
        <w:t xml:space="preserve">(a) no </w:t>
      </w:r>
      <w:r>
        <w:rPr>
          <w:b/>
          <w:bCs/>
        </w:rPr>
        <w:t xml:space="preserve">Brasil</w:t>
      </w:r>
      <w:r>
        <w:t xml:space="preserve">, observam-se o Código de Defesa do Consumidor (art. 39, V, e art. 51, IV e § 1º — vantagem manifestamente excessiva), o Código Civil (arts. 412 e 413 — limite e redução equitativa da cláusula penal) e o art. 424 do Código Civil (contratos de adesão);</w:t>
      </w:r>
    </w:p>
    <w:p>
      <w:pPr>
        <w:pStyle w:val="ListParagraph"/>
        <w:numPr>
          <w:ilvl w:val="0"/>
          <w:numId w:val="2"/>
        </w:numPr>
        <w:spacing w:after="60"/>
      </w:pPr>
      <w:r>
        <w:t xml:space="preserve">(b) na </w:t>
      </w:r>
      <w:r>
        <w:rPr>
          <w:b/>
          <w:bCs/>
        </w:rPr>
        <w:t xml:space="preserve">Austrália</w:t>
      </w:r>
      <w:r>
        <w:t xml:space="preserve">, as penalidades e taxas de cancelamento devem ser razoáveis segundo as regras de cláusulas contratuais injustas do Australian Consumer Law, que desde 09/11/2023 são ilegais e sujeitas a multa e protegem também pequenas empresas;</w:t>
      </w:r>
    </w:p>
    <w:p>
      <w:pPr>
        <w:pStyle w:val="ListParagraph"/>
        <w:numPr>
          <w:ilvl w:val="0"/>
          <w:numId w:val="2"/>
        </w:numPr>
        <w:spacing w:after="60"/>
      </w:pPr>
      <w:r>
        <w:t xml:space="preserve">(c) na </w:t>
      </w:r>
      <w:r>
        <w:rPr>
          <w:b/>
          <w:bCs/>
        </w:rPr>
        <w:t xml:space="preserve">União Europeia</w:t>
      </w:r>
      <w:r>
        <w:t xml:space="preserve">, observam-se a Diretiva 93/13/CEE (em especial o Anexo, alíneas "d" e "e": retenção de valores sem compensação equivalente e indenização desproporcionalmente elevada) e as leis nacionais de transposição; no </w:t>
      </w:r>
      <w:r>
        <w:rPr>
          <w:b/>
          <w:bCs/>
        </w:rPr>
        <w:t xml:space="preserve">Reino Unido</w:t>
      </w:r>
      <w:r>
        <w:t xml:space="preserve">, a Part 2 do Consumer Rights Act 2015;</w:t>
      </w:r>
    </w:p>
    <w:p>
      <w:pPr>
        <w:pStyle w:val="ListParagraph"/>
        <w:numPr>
          <w:ilvl w:val="0"/>
          <w:numId w:val="2"/>
        </w:numPr>
        <w:spacing w:after="60"/>
      </w:pPr>
      <w:r>
        <w:t xml:space="preserve">(d) no </w:t>
      </w:r>
      <w:r>
        <w:rPr>
          <w:b/>
          <w:bCs/>
        </w:rPr>
        <w:t xml:space="preserve">Japão</w:t>
      </w:r>
      <w:r>
        <w:t xml:space="preserve">, a parte da taxa de cancelamento que exceder o dano médio do fornecedor é nula em contratos de consumo (Consumer Contract Act, art. 9);</w:t>
      </w:r>
    </w:p>
    <w:p>
      <w:pPr>
        <w:pStyle w:val="ListParagraph"/>
        <w:numPr>
          <w:ilvl w:val="0"/>
          <w:numId w:val="2"/>
        </w:numPr>
        <w:spacing w:after="60"/>
      </w:pPr>
      <w:r>
        <w:t xml:space="preserve">(e) em </w:t>
      </w:r>
      <w:r>
        <w:rPr>
          <w:b/>
          <w:bCs/>
        </w:rPr>
        <w:t xml:space="preserve">Israel</w:t>
      </w:r>
      <w:r>
        <w:t xml:space="preserve">, as tarifas de cancelamento em transações de consumo observam os limites das Consumer Protection (Cancellation of Transaction) Regulations;</w:t>
      </w:r>
    </w:p>
    <w:p>
      <w:pPr>
        <w:pStyle w:val="ListParagraph"/>
        <w:numPr>
          <w:ilvl w:val="0"/>
          <w:numId w:val="2"/>
        </w:numPr>
        <w:spacing w:after="60"/>
      </w:pPr>
      <w:r>
        <w:t xml:space="preserve">(f) nos </w:t>
      </w:r>
      <w:r>
        <w:rPr>
          <w:b/>
          <w:bCs/>
        </w:rPr>
        <w:t xml:space="preserve">países latino-americanos</w:t>
      </w:r>
      <w:r>
        <w:t xml:space="preserve">, as regras de cláusulas abusivas das leis de consumo (por exemplo, Argentina, Ley 24.240, art. 37; Chile, Ley 19.496, art. 16; Colômbia, Ley 1480, arts. 42 e 43; México, LFPC, art. 90);</w:t>
      </w:r>
    </w:p>
    <w:p>
      <w:pPr>
        <w:pStyle w:val="ListParagraph"/>
        <w:numPr>
          <w:ilvl w:val="0"/>
          <w:numId w:val="2"/>
        </w:numPr>
        <w:spacing w:after="60"/>
      </w:pPr>
      <w:r>
        <w:t xml:space="preserve">(g) nos demais países, as leis de consumo e de contratos indicadas em Regras por País.</w:t>
      </w:r>
    </w:p>
    <w:p>
      <w:pPr>
        <w:spacing w:after="120"/>
        <w:jc w:val="both"/>
      </w:pPr>
      <w:r>
        <w:t xml:space="preserve">8.2. A Plataforma pode, de ofício, reduzir penalidades quando o montante se mostrar excessivo diante da natureza e da finalidade da Reserva, do comportamento das partes e do prejuízo efetivo.</w:t>
      </w:r>
    </w:p>
    <w:p>
      <w:pPr>
        <w:spacing w:after="120"/>
        <w:jc w:val="both"/>
      </w:pPr>
      <w:r>
        <w:t xml:space="preserve">8.3. A soma das penalidades percentuais de uma mesma Reserva (violação de regras, excesso de capacidade, atividade não autorizada e sublocação) não excederá 100% do Valor Base, sem prejuízo do ressarcimento de danos e custos comprovados.</w:t>
      </w:r>
    </w:p>
    <w:p>
      <w:pPr>
        <w:pStyle w:val="Heading2"/>
      </w:pPr>
      <w:r>
        <w:t xml:space="preserve">9. Medidas cautelares</w:t>
      </w:r>
    </w:p>
    <w:p>
      <w:pPr>
        <w:spacing w:after="120"/>
        <w:jc w:val="both"/>
      </w:pPr>
      <w:r>
        <w:t xml:space="preserve">9.1. Em caso de indício de falta grave ou de risco à segurança de pessoas, a Plataforma pode, cautelarmente, suspender a conta ou o Anúncio, cancelar Reservas futuras e reter repasses relacionados, pelo tempo necessário à apuração, comunicando a parte afetada.</w:t>
      </w:r>
    </w:p>
    <w:p>
      <w:pPr>
        <w:spacing w:after="120"/>
        <w:jc w:val="both"/>
      </w:pPr>
      <w:r>
        <w:t xml:space="preserve">9.2. A Plataforma pode comunicar autoridades competentes, inclusive conselhos profissionais, quando houver indício de crime, infração ética grave ou risco à saúde pública, observada a legislação de proteção de dados. Constatado o exercício ilegal de profissão, a Plataforma sempre faz a comunicação (cláusula 6.5).</w:t>
      </w:r>
    </w:p>
    <w:p>
      <w:r>
        <w:br w:type="page"/>
      </w:r>
    </w:p>
    <w:p>
      <w:pPr>
        <w:pStyle w:val="Heading1"/>
      </w:pPr>
      <w:r>
        <w:t xml:space="preserve">Política de Avaliações</w:t>
      </w:r>
    </w:p>
    <w:p>
      <w:pPr>
        <w:spacing w:after="120"/>
        <w:jc w:val="both"/>
      </w:pPr>
      <w:r>
        <w:t xml:space="preserve">Versão 2026-09-25 · Vigência a partir de 25/09/2026</w:t>
      </w:r>
    </w:p>
    <w:p>
      <w:pPr>
        <w:pStyle w:val="Heading2"/>
      </w:pPr>
      <w:r>
        <w:t xml:space="preserve">1. Objeto e finalidade</w:t>
      </w:r>
    </w:p>
    <w:p>
      <w:pPr>
        <w:spacing w:after="120"/>
        <w:jc w:val="both"/>
      </w:pPr>
      <w:r>
        <w:t xml:space="preserve">1.1. Este documento integra os Termos de Uso e regula as avaliações publicadas na Plataforma, que existem para gerar confiança entre Anfitriões e Locatários, com base em experiências reais.</w:t>
      </w:r>
    </w:p>
    <w:p>
      <w:pPr>
        <w:spacing w:after="120"/>
        <w:jc w:val="both"/>
      </w:pPr>
      <w:r>
        <w:t xml:space="preserve">1.2. Há três tipos de avaliação:</w:t>
      </w:r>
    </w:p>
    <w:p>
      <w:pPr>
        <w:pStyle w:val="ListParagraph"/>
        <w:numPr>
          <w:ilvl w:val="0"/>
          <w:numId w:val="2"/>
        </w:numPr>
        <w:spacing w:after="60"/>
      </w:pPr>
      <w:r>
        <w:t xml:space="preserve">(a) </w:t>
      </w:r>
      <w:r>
        <w:rPr>
          <w:b/>
          <w:bCs/>
        </w:rPr>
        <w:t xml:space="preserve">Locatário avalia o Espaço e o Anfitrião</w:t>
      </w:r>
      <w:r>
        <w:t xml:space="preserve">;</w:t>
      </w:r>
    </w:p>
    <w:p>
      <w:pPr>
        <w:pStyle w:val="ListParagraph"/>
        <w:numPr>
          <w:ilvl w:val="0"/>
          <w:numId w:val="2"/>
        </w:numPr>
        <w:spacing w:after="60"/>
      </w:pPr>
      <w:r>
        <w:t xml:space="preserve">(b) </w:t>
      </w:r>
      <w:r>
        <w:rPr>
          <w:b/>
          <w:bCs/>
        </w:rPr>
        <w:t xml:space="preserve">Anfitrião avalia o Locatário</w:t>
      </w:r>
      <w:r>
        <w:t xml:space="preserve">;</w:t>
      </w:r>
    </w:p>
    <w:p>
      <w:pPr>
        <w:pStyle w:val="ListParagraph"/>
        <w:numPr>
          <w:ilvl w:val="0"/>
          <w:numId w:val="2"/>
        </w:numPr>
        <w:spacing w:after="60"/>
      </w:pPr>
      <w:r>
        <w:t xml:space="preserve">(c) </w:t>
      </w:r>
      <w:r>
        <w:rPr>
          <w:b/>
          <w:bCs/>
        </w:rPr>
        <w:t xml:space="preserve">Cliente Final avalia o Espaço</w:t>
      </w:r>
      <w:r>
        <w:t xml:space="preserve"> — ferramenta </w:t>
      </w:r>
      <w:r>
        <w:rPr>
          <w:b/>
          <w:bCs/>
        </w:rPr>
        <w:t xml:space="preserve">opcional</w:t>
      </w:r>
      <w:r>
        <w:t xml:space="preserve">, ativada somente a pedido do Locatário.</w:t>
      </w:r>
    </w:p>
    <w:p>
      <w:pPr>
        <w:pStyle w:val="Heading2"/>
      </w:pPr>
      <w:r>
        <w:t xml:space="preserve">2. Quem pode avaliar e prazo</w:t>
      </w:r>
    </w:p>
    <w:p>
      <w:pPr>
        <w:spacing w:after="120"/>
        <w:jc w:val="both"/>
      </w:pPr>
      <w:r>
        <w:t xml:space="preserve">2.1. Somente as partes de uma Reserva concluída (com check-out ou término da última Ocorrência) podem avaliar uma à outra, uma vez por Reserva.</w:t>
      </w:r>
    </w:p>
    <w:p>
      <w:pPr>
        <w:spacing w:after="120"/>
        <w:jc w:val="both"/>
      </w:pPr>
      <w:r>
        <w:t xml:space="preserve">2.2. O prazo para avaliar é de </w:t>
      </w:r>
      <w:r>
        <w:rPr>
          <w:b/>
          <w:bCs/>
        </w:rPr>
        <w:t xml:space="preserve">14 dias</w:t>
      </w:r>
      <w:r>
        <w:t xml:space="preserve"> após o término da Reserva.</w:t>
      </w:r>
    </w:p>
    <w:p>
      <w:pPr>
        <w:spacing w:after="120"/>
        <w:jc w:val="both"/>
      </w:pPr>
      <w:r>
        <w:t xml:space="preserve">2.3. Cada avaliação contém uma nota geral de 1 a 5 estrelas, notas de 1 a 5 por critério e um comentário público de </w:t>
      </w:r>
      <w:r>
        <w:rPr>
          <w:b/>
          <w:bCs/>
        </w:rPr>
        <w:t xml:space="preserve">10 a 2.000 caracteres</w:t>
      </w:r>
      <w:r>
        <w:t xml:space="preserve">. Pode conter, ainda, uma nota privada à outra parte, que não é publicada.</w:t>
      </w:r>
    </w:p>
    <w:p>
      <w:pPr>
        <w:pStyle w:val="Heading2"/>
      </w:pPr>
      <w:r>
        <w:t xml:space="preserve">3. Critérios</w:t>
      </w:r>
    </w:p>
    <w:p>
      <w:pPr>
        <w:spacing w:after="120"/>
        <w:jc w:val="both"/>
      </w:pPr>
      <w:r>
        <w:t xml:space="preserve">3.1. </w:t>
      </w:r>
      <w:r>
        <w:rPr>
          <w:b/>
          <w:bCs/>
        </w:rPr>
        <w:t xml:space="preserve">Locatário avalia o Espaço e o Anfitrião: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6F2F1" w:color="auto" w:val="clear"/>
            <w:tcMar>
              <w:top w:type="dxa" w:w="60"/>
              <w:left w:type="dxa" w:w="100"/>
              <w:bottom w:type="dxa" w:w="60"/>
              <w:right w:type="dxa" w:w="100"/>
            </w:tcMar>
          </w:tcPr>
          <w:p>
            <w:r>
              <w:rPr>
                <w:b/>
                <w:bCs/>
                <w:sz w:val="19"/>
                <w:szCs w:val="19"/>
              </w:rPr>
              <w:t xml:space="preserve">Critério</w:t>
            </w:r>
          </w:p>
        </w:tc>
        <w:tc>
          <w:tcPr>
            <w:tcW w:type="dxa" w:w="4819"/>
            <w:shd w:fill="E6F2F1" w:color="auto" w:val="clear"/>
            <w:tcMar>
              <w:top w:type="dxa" w:w="60"/>
              <w:left w:type="dxa" w:w="100"/>
              <w:bottom w:type="dxa" w:w="60"/>
              <w:right w:type="dxa" w:w="100"/>
            </w:tcMar>
          </w:tcPr>
          <w:p>
            <w:r>
              <w:rPr>
                <w:b/>
                <w:bCs/>
                <w:sz w:val="19"/>
                <w:szCs w:val="19"/>
              </w:rPr>
              <w:t xml:space="preserve">O que se avalia</w:t>
            </w:r>
          </w:p>
        </w:tc>
      </w:tr>
      <w:tr>
        <w:trPr>
          <w:tblHeader w:val="off"/>
        </w:trPr>
        <w:tc>
          <w:tcPr>
            <w:tcW w:type="dxa" w:w="4819"/>
            <w:tcMar>
              <w:top w:type="dxa" w:w="60"/>
              <w:left w:type="dxa" w:w="100"/>
              <w:bottom w:type="dxa" w:w="60"/>
              <w:right w:type="dxa" w:w="100"/>
            </w:tcMar>
          </w:tcPr>
          <w:p>
            <w:r>
              <w:rPr>
                <w:sz w:val="19"/>
                <w:szCs w:val="19"/>
              </w:rPr>
              <w:t xml:space="preserve">Limpeza</w:t>
            </w:r>
          </w:p>
        </w:tc>
        <w:tc>
          <w:tcPr>
            <w:tcW w:type="dxa" w:w="4819"/>
            <w:tcMar>
              <w:top w:type="dxa" w:w="60"/>
              <w:left w:type="dxa" w:w="100"/>
              <w:bottom w:type="dxa" w:w="60"/>
              <w:right w:type="dxa" w:w="100"/>
            </w:tcMar>
          </w:tcPr>
          <w:p>
            <w:r>
              <w:rPr>
                <w:sz w:val="19"/>
                <w:szCs w:val="19"/>
              </w:rPr>
              <w:t xml:space="preserve">Estado de higiene do Espaço na chegada</w:t>
            </w:r>
          </w:p>
        </w:tc>
      </w:tr>
      <w:tr>
        <w:trPr>
          <w:tblHeader w:val="off"/>
        </w:trPr>
        <w:tc>
          <w:tcPr>
            <w:tcW w:type="dxa" w:w="4819"/>
            <w:tcMar>
              <w:top w:type="dxa" w:w="60"/>
              <w:left w:type="dxa" w:w="100"/>
              <w:bottom w:type="dxa" w:w="60"/>
              <w:right w:type="dxa" w:w="100"/>
            </w:tcMar>
          </w:tcPr>
          <w:p>
            <w:r>
              <w:rPr>
                <w:sz w:val="19"/>
                <w:szCs w:val="19"/>
              </w:rPr>
              <w:t xml:space="preserve">Precisão</w:t>
            </w:r>
          </w:p>
        </w:tc>
        <w:tc>
          <w:tcPr>
            <w:tcW w:type="dxa" w:w="4819"/>
            <w:tcMar>
              <w:top w:type="dxa" w:w="60"/>
              <w:left w:type="dxa" w:w="100"/>
              <w:bottom w:type="dxa" w:w="60"/>
              <w:right w:type="dxa" w:w="100"/>
            </w:tcMar>
          </w:tcPr>
          <w:p>
            <w:r>
              <w:rPr>
                <w:sz w:val="19"/>
                <w:szCs w:val="19"/>
              </w:rPr>
              <w:t xml:space="preserve">Correspondência entre Anúncio e realidade</w:t>
            </w:r>
          </w:p>
        </w:tc>
      </w:tr>
      <w:tr>
        <w:trPr>
          <w:tblHeader w:val="off"/>
        </w:trPr>
        <w:tc>
          <w:tcPr>
            <w:tcW w:type="dxa" w:w="4819"/>
            <w:tcMar>
              <w:top w:type="dxa" w:w="60"/>
              <w:left w:type="dxa" w:w="100"/>
              <w:bottom w:type="dxa" w:w="60"/>
              <w:right w:type="dxa" w:w="100"/>
            </w:tcMar>
          </w:tcPr>
          <w:p>
            <w:r>
              <w:rPr>
                <w:sz w:val="19"/>
                <w:szCs w:val="19"/>
              </w:rPr>
              <w:t xml:space="preserve">Equipamentos</w:t>
            </w:r>
          </w:p>
        </w:tc>
        <w:tc>
          <w:tcPr>
            <w:tcW w:type="dxa" w:w="4819"/>
            <w:tcMar>
              <w:top w:type="dxa" w:w="60"/>
              <w:left w:type="dxa" w:w="100"/>
              <w:bottom w:type="dxa" w:w="60"/>
              <w:right w:type="dxa" w:w="100"/>
            </w:tcMar>
          </w:tcPr>
          <w:p>
            <w:r>
              <w:rPr>
                <w:sz w:val="19"/>
                <w:szCs w:val="19"/>
              </w:rPr>
              <w:t xml:space="preserve">Presença, funcionamento e conservação dos equipamentos anunciados</w:t>
            </w:r>
          </w:p>
        </w:tc>
      </w:tr>
      <w:tr>
        <w:trPr>
          <w:tblHeader w:val="off"/>
        </w:trPr>
        <w:tc>
          <w:tcPr>
            <w:tcW w:type="dxa" w:w="4819"/>
            <w:tcMar>
              <w:top w:type="dxa" w:w="60"/>
              <w:left w:type="dxa" w:w="100"/>
              <w:bottom w:type="dxa" w:w="60"/>
              <w:right w:type="dxa" w:w="100"/>
            </w:tcMar>
          </w:tcPr>
          <w:p>
            <w:r>
              <w:rPr>
                <w:sz w:val="19"/>
                <w:szCs w:val="19"/>
              </w:rPr>
              <w:t xml:space="preserve">Localização</w:t>
            </w:r>
          </w:p>
        </w:tc>
        <w:tc>
          <w:tcPr>
            <w:tcW w:type="dxa" w:w="4819"/>
            <w:tcMar>
              <w:top w:type="dxa" w:w="60"/>
              <w:left w:type="dxa" w:w="100"/>
              <w:bottom w:type="dxa" w:w="60"/>
              <w:right w:type="dxa" w:w="100"/>
            </w:tcMar>
          </w:tcPr>
          <w:p>
            <w:r>
              <w:rPr>
                <w:sz w:val="19"/>
                <w:szCs w:val="19"/>
              </w:rPr>
              <w:t xml:space="preserve">Acesso, segurança e conveniência do endereço</w:t>
            </w:r>
          </w:p>
        </w:tc>
      </w:tr>
      <w:tr>
        <w:trPr>
          <w:tblHeader w:val="off"/>
        </w:trPr>
        <w:tc>
          <w:tcPr>
            <w:tcW w:type="dxa" w:w="4819"/>
            <w:tcMar>
              <w:top w:type="dxa" w:w="60"/>
              <w:left w:type="dxa" w:w="100"/>
              <w:bottom w:type="dxa" w:w="60"/>
              <w:right w:type="dxa" w:w="100"/>
            </w:tcMar>
          </w:tcPr>
          <w:p>
            <w:r>
              <w:rPr>
                <w:sz w:val="19"/>
                <w:szCs w:val="19"/>
              </w:rPr>
              <w:t xml:space="preserve">Comunicação</w:t>
            </w:r>
          </w:p>
        </w:tc>
        <w:tc>
          <w:tcPr>
            <w:tcW w:type="dxa" w:w="4819"/>
            <w:tcMar>
              <w:top w:type="dxa" w:w="60"/>
              <w:left w:type="dxa" w:w="100"/>
              <w:bottom w:type="dxa" w:w="60"/>
              <w:right w:type="dxa" w:w="100"/>
            </w:tcMar>
          </w:tcPr>
          <w:p>
            <w:r>
              <w:rPr>
                <w:sz w:val="19"/>
                <w:szCs w:val="19"/>
              </w:rPr>
              <w:t xml:space="preserve">Clareza e rapidez do Anfitrião</w:t>
            </w:r>
          </w:p>
        </w:tc>
      </w:tr>
      <w:tr>
        <w:trPr>
          <w:tblHeader w:val="off"/>
        </w:trPr>
        <w:tc>
          <w:tcPr>
            <w:tcW w:type="dxa" w:w="4819"/>
            <w:tcMar>
              <w:top w:type="dxa" w:w="60"/>
              <w:left w:type="dxa" w:w="100"/>
              <w:bottom w:type="dxa" w:w="60"/>
              <w:right w:type="dxa" w:w="100"/>
            </w:tcMar>
          </w:tcPr>
          <w:p>
            <w:r>
              <w:rPr>
                <w:sz w:val="19"/>
                <w:szCs w:val="19"/>
              </w:rPr>
              <w:t xml:space="preserve">Custo-benefício</w:t>
            </w:r>
          </w:p>
        </w:tc>
        <w:tc>
          <w:tcPr>
            <w:tcW w:type="dxa" w:w="4819"/>
            <w:tcMar>
              <w:top w:type="dxa" w:w="60"/>
              <w:left w:type="dxa" w:w="100"/>
              <w:bottom w:type="dxa" w:w="60"/>
              <w:right w:type="dxa" w:w="100"/>
            </w:tcMar>
          </w:tcPr>
          <w:p>
            <w:r>
              <w:rPr>
                <w:sz w:val="19"/>
                <w:szCs w:val="19"/>
              </w:rPr>
              <w:t xml:space="preserve">Adequação do preço à experiência</w:t>
            </w:r>
          </w:p>
        </w:tc>
      </w:tr>
    </w:tbl>
    <w:p/>
    <w:p>
      <w:pPr>
        <w:spacing w:after="120"/>
        <w:jc w:val="both"/>
      </w:pPr>
      <w:r>
        <w:t xml:space="preserve">3.2. </w:t>
      </w:r>
      <w:r>
        <w:rPr>
          <w:b/>
          <w:bCs/>
        </w:rPr>
        <w:t xml:space="preserve">Anfitrião avalia o Locatário: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6F2F1" w:color="auto" w:val="clear"/>
            <w:tcMar>
              <w:top w:type="dxa" w:w="60"/>
              <w:left w:type="dxa" w:w="100"/>
              <w:bottom w:type="dxa" w:w="60"/>
              <w:right w:type="dxa" w:w="100"/>
            </w:tcMar>
          </w:tcPr>
          <w:p>
            <w:r>
              <w:rPr>
                <w:b/>
                <w:bCs/>
                <w:sz w:val="19"/>
                <w:szCs w:val="19"/>
              </w:rPr>
              <w:t xml:space="preserve">Critério</w:t>
            </w:r>
          </w:p>
        </w:tc>
        <w:tc>
          <w:tcPr>
            <w:tcW w:type="dxa" w:w="4819"/>
            <w:shd w:fill="E6F2F1" w:color="auto" w:val="clear"/>
            <w:tcMar>
              <w:top w:type="dxa" w:w="60"/>
              <w:left w:type="dxa" w:w="100"/>
              <w:bottom w:type="dxa" w:w="60"/>
              <w:right w:type="dxa" w:w="100"/>
            </w:tcMar>
          </w:tcPr>
          <w:p>
            <w:r>
              <w:rPr>
                <w:b/>
                <w:bCs/>
                <w:sz w:val="19"/>
                <w:szCs w:val="19"/>
              </w:rPr>
              <w:t xml:space="preserve">O que se avalia</w:t>
            </w:r>
          </w:p>
        </w:tc>
      </w:tr>
      <w:tr>
        <w:trPr>
          <w:tblHeader w:val="off"/>
        </w:trPr>
        <w:tc>
          <w:tcPr>
            <w:tcW w:type="dxa" w:w="4819"/>
            <w:tcMar>
              <w:top w:type="dxa" w:w="60"/>
              <w:left w:type="dxa" w:w="100"/>
              <w:bottom w:type="dxa" w:w="60"/>
              <w:right w:type="dxa" w:w="100"/>
            </w:tcMar>
          </w:tcPr>
          <w:p>
            <w:r>
              <w:rPr>
                <w:sz w:val="19"/>
                <w:szCs w:val="19"/>
              </w:rPr>
              <w:t xml:space="preserve">Pontualidade</w:t>
            </w:r>
          </w:p>
        </w:tc>
        <w:tc>
          <w:tcPr>
            <w:tcW w:type="dxa" w:w="4819"/>
            <w:tcMar>
              <w:top w:type="dxa" w:w="60"/>
              <w:left w:type="dxa" w:w="100"/>
              <w:bottom w:type="dxa" w:w="60"/>
              <w:right w:type="dxa" w:w="100"/>
            </w:tcMar>
          </w:tcPr>
          <w:p>
            <w:r>
              <w:rPr>
                <w:sz w:val="19"/>
                <w:szCs w:val="19"/>
              </w:rPr>
              <w:t xml:space="preserve">Chegada e saída nos horários reservados</w:t>
            </w:r>
          </w:p>
        </w:tc>
      </w:tr>
      <w:tr>
        <w:trPr>
          <w:tblHeader w:val="off"/>
        </w:trPr>
        <w:tc>
          <w:tcPr>
            <w:tcW w:type="dxa" w:w="4819"/>
            <w:tcMar>
              <w:top w:type="dxa" w:w="60"/>
              <w:left w:type="dxa" w:w="100"/>
              <w:bottom w:type="dxa" w:w="60"/>
              <w:right w:type="dxa" w:w="100"/>
            </w:tcMar>
          </w:tcPr>
          <w:p>
            <w:r>
              <w:rPr>
                <w:sz w:val="19"/>
                <w:szCs w:val="19"/>
              </w:rPr>
              <w:t xml:space="preserve">Cuidado</w:t>
            </w:r>
          </w:p>
        </w:tc>
        <w:tc>
          <w:tcPr>
            <w:tcW w:type="dxa" w:w="4819"/>
            <w:tcMar>
              <w:top w:type="dxa" w:w="60"/>
              <w:left w:type="dxa" w:w="100"/>
              <w:bottom w:type="dxa" w:w="60"/>
              <w:right w:type="dxa" w:w="100"/>
            </w:tcMar>
          </w:tcPr>
          <w:p>
            <w:r>
              <w:rPr>
                <w:sz w:val="19"/>
                <w:szCs w:val="19"/>
              </w:rPr>
              <w:t xml:space="preserve">Conservação e limpeza do Espaço e dos equipamentos</w:t>
            </w:r>
          </w:p>
        </w:tc>
      </w:tr>
      <w:tr>
        <w:trPr>
          <w:tblHeader w:val="off"/>
        </w:trPr>
        <w:tc>
          <w:tcPr>
            <w:tcW w:type="dxa" w:w="4819"/>
            <w:tcMar>
              <w:top w:type="dxa" w:w="60"/>
              <w:left w:type="dxa" w:w="100"/>
              <w:bottom w:type="dxa" w:w="60"/>
              <w:right w:type="dxa" w:w="100"/>
            </w:tcMar>
          </w:tcPr>
          <w:p>
            <w:r>
              <w:rPr>
                <w:sz w:val="19"/>
                <w:szCs w:val="19"/>
              </w:rPr>
              <w:t xml:space="preserve">Regras</w:t>
            </w:r>
          </w:p>
        </w:tc>
        <w:tc>
          <w:tcPr>
            <w:tcW w:type="dxa" w:w="4819"/>
            <w:tcMar>
              <w:top w:type="dxa" w:w="60"/>
              <w:left w:type="dxa" w:w="100"/>
              <w:bottom w:type="dxa" w:w="60"/>
              <w:right w:type="dxa" w:w="100"/>
            </w:tcMar>
          </w:tcPr>
          <w:p>
            <w:r>
              <w:rPr>
                <w:sz w:val="19"/>
                <w:szCs w:val="19"/>
              </w:rPr>
              <w:t xml:space="preserve">Respeito às normas do Espaço, do edifício e da Plataforma</w:t>
            </w:r>
          </w:p>
        </w:tc>
      </w:tr>
      <w:tr>
        <w:trPr>
          <w:tblHeader w:val="off"/>
        </w:trPr>
        <w:tc>
          <w:tcPr>
            <w:tcW w:type="dxa" w:w="4819"/>
            <w:tcMar>
              <w:top w:type="dxa" w:w="60"/>
              <w:left w:type="dxa" w:w="100"/>
              <w:bottom w:type="dxa" w:w="60"/>
              <w:right w:type="dxa" w:w="100"/>
            </w:tcMar>
          </w:tcPr>
          <w:p>
            <w:r>
              <w:rPr>
                <w:sz w:val="19"/>
                <w:szCs w:val="19"/>
              </w:rPr>
              <w:t xml:space="preserve">Comunicação</w:t>
            </w:r>
          </w:p>
        </w:tc>
        <w:tc>
          <w:tcPr>
            <w:tcW w:type="dxa" w:w="4819"/>
            <w:tcMar>
              <w:top w:type="dxa" w:w="60"/>
              <w:left w:type="dxa" w:w="100"/>
              <w:bottom w:type="dxa" w:w="60"/>
              <w:right w:type="dxa" w:w="100"/>
            </w:tcMar>
          </w:tcPr>
          <w:p>
            <w:r>
              <w:rPr>
                <w:sz w:val="19"/>
                <w:szCs w:val="19"/>
              </w:rPr>
              <w:t xml:space="preserve">Clareza e cordialidade</w:t>
            </w:r>
          </w:p>
        </w:tc>
      </w:tr>
      <w:tr>
        <w:trPr>
          <w:tblHeader w:val="off"/>
        </w:trPr>
        <w:tc>
          <w:tcPr>
            <w:tcW w:type="dxa" w:w="4819"/>
            <w:tcMar>
              <w:top w:type="dxa" w:w="60"/>
              <w:left w:type="dxa" w:w="100"/>
              <w:bottom w:type="dxa" w:w="60"/>
              <w:right w:type="dxa" w:w="100"/>
            </w:tcMar>
          </w:tcPr>
          <w:p>
            <w:r>
              <w:rPr>
                <w:sz w:val="19"/>
                <w:szCs w:val="19"/>
              </w:rPr>
              <w:t xml:space="preserve">Recomendaria?</w:t>
            </w:r>
          </w:p>
        </w:tc>
        <w:tc>
          <w:tcPr>
            <w:tcW w:type="dxa" w:w="4819"/>
            <w:tcMar>
              <w:top w:type="dxa" w:w="60"/>
              <w:left w:type="dxa" w:w="100"/>
              <w:bottom w:type="dxa" w:w="60"/>
              <w:right w:type="dxa" w:w="100"/>
            </w:tcMar>
          </w:tcPr>
          <w:p>
            <w:r>
              <w:rPr>
                <w:sz w:val="19"/>
                <w:szCs w:val="19"/>
              </w:rPr>
              <w:t xml:space="preserve">Indicação "sim/não" se recomendaria o Locatário a outros Anfitriões</w:t>
            </w:r>
          </w:p>
        </w:tc>
      </w:tr>
    </w:tbl>
    <w:p/>
    <w:p>
      <w:pPr>
        <w:pStyle w:val="Heading2"/>
      </w:pPr>
      <w:r>
        <w:t xml:space="preserve">4. Avaliação duplo-cega</w:t>
      </w:r>
    </w:p>
    <w:p>
      <w:pPr>
        <w:spacing w:after="120"/>
        <w:jc w:val="both"/>
      </w:pPr>
      <w:r>
        <w:t xml:space="preserve">4.1. As avaliações entre Anfitrião e Locatário são </w:t>
      </w:r>
      <w:r>
        <w:rPr>
          <w:b/>
          <w:bCs/>
        </w:rPr>
        <w:t xml:space="preserve">duplo-cegas</w:t>
      </w:r>
      <w:r>
        <w:t xml:space="preserve">: nenhuma das partes vê a avaliação da outra antes de enviar a sua. Ambas se tornam visíveis quando as duas partes tiverem avaliado ou quando terminar o prazo de 14 dias, o que ocorrer primeiro.</w:t>
      </w:r>
    </w:p>
    <w:p>
      <w:pPr>
        <w:spacing w:after="120"/>
        <w:jc w:val="both"/>
      </w:pPr>
      <w:r>
        <w:t xml:space="preserve">4.2. Depois de publicada, a avaliação não pode ser editada pelo autor, salvo para corrigir erro material mediante solicitação à Plataforma.</w:t>
      </w:r>
    </w:p>
    <w:p>
      <w:pPr>
        <w:pStyle w:val="Heading2"/>
      </w:pPr>
      <w:r>
        <w:t xml:space="preserve">5. Resposta pública</w:t>
      </w:r>
    </w:p>
    <w:p>
      <w:pPr>
        <w:spacing w:after="120"/>
        <w:jc w:val="both"/>
      </w:pPr>
      <w:r>
        <w:t xml:space="preserve">5.1. A pessoa avaliada pode publicar </w:t>
      </w:r>
      <w:r>
        <w:rPr>
          <w:b/>
          <w:bCs/>
        </w:rPr>
        <w:t xml:space="preserve">uma resposta pública</w:t>
      </w:r>
      <w:r>
        <w:t xml:space="preserve"> a cada avaliação recebida, observadas as mesmas regras de conteúdo. A resposta deve ser objetiva e não pode conter ataques pessoais nem dados pessoais de terceiros.</w:t>
      </w:r>
    </w:p>
    <w:p>
      <w:pPr>
        <w:pStyle w:val="Heading2"/>
      </w:pPr>
      <w:r>
        <w:t xml:space="preserve">6. Avaliações de Clientes Finais (opcional)</w:t>
      </w:r>
    </w:p>
    <w:p>
      <w:pPr>
        <w:spacing w:after="120"/>
        <w:jc w:val="both"/>
      </w:pPr>
      <w:r>
        <w:t xml:space="preserve">6.1. </w:t>
      </w:r>
      <w:r>
        <w:rPr>
          <w:b/>
          <w:bCs/>
        </w:rPr>
        <w:t xml:space="preserve">Ativação.</w:t>
      </w:r>
      <w:r>
        <w:t xml:space="preserve"> O Locatário pode, </w:t>
      </w:r>
      <w:r>
        <w:rPr>
          <w:b/>
          <w:bCs/>
        </w:rPr>
        <w:t xml:space="preserve">se desejar</w:t>
      </w:r>
      <w:r>
        <w:t xml:space="preserve">, ativar para uma Reserva a coleta de avaliações de seus Clientes Finais sobre o Espaço. O Anfitrião não pode exigir essa ativação.</w:t>
      </w:r>
    </w:p>
    <w:p>
      <w:pPr>
        <w:spacing w:after="120"/>
        <w:jc w:val="both"/>
      </w:pPr>
      <w:r>
        <w:t xml:space="preserve">6.2. </w:t>
      </w:r>
      <w:r>
        <w:rPr>
          <w:b/>
          <w:bCs/>
        </w:rPr>
        <w:t xml:space="preserve">Convites.</w:t>
      </w:r>
      <w:r>
        <w:t xml:space="preserve"> O Locatário gera </w:t>
      </w:r>
      <w:r>
        <w:rPr>
          <w:b/>
          <w:bCs/>
        </w:rPr>
        <w:t xml:space="preserve">links de uso único</w:t>
      </w:r>
      <w:r>
        <w:t xml:space="preserve">, cada um válido por </w:t>
      </w:r>
      <w:r>
        <w:rPr>
          <w:b/>
          <w:bCs/>
        </w:rPr>
        <w:t xml:space="preserve">14 dias</w:t>
      </w:r>
      <w:r>
        <w:t xml:space="preserve">, até o limite de </w:t>
      </w:r>
      <w:r>
        <w:rPr>
          <w:b/>
          <w:bCs/>
        </w:rPr>
        <w:t xml:space="preserve">50 convites por Reserva</w:t>
      </w:r>
      <w:r>
        <w:t xml:space="preserve">, e os entrega aos Clientes Finais pelo meio que preferir. A Plataforma não recebe dados de contato dos Clientes Finais para esse fim.</w:t>
      </w:r>
    </w:p>
    <w:p>
      <w:pPr>
        <w:spacing w:after="120"/>
        <w:jc w:val="both"/>
      </w:pPr>
      <w:r>
        <w:t xml:space="preserve">6.3. </w:t>
      </w:r>
      <w:r>
        <w:rPr>
          <w:b/>
          <w:bCs/>
        </w:rPr>
        <w:t xml:space="preserve">Anonimato.</w:t>
      </w:r>
      <w:r>
        <w:t xml:space="preserve"> As avaliações de Clientes Finais são </w:t>
      </w:r>
      <w:r>
        <w:rPr>
          <w:b/>
          <w:bCs/>
        </w:rPr>
        <w:t xml:space="preserve">anônimas</w:t>
      </w:r>
      <w:r>
        <w:t xml:space="preserve">: não exigem cadastro, não exibem nome ou identificação, e o autor pode indicar apenas um apelido opcional.</w:t>
      </w:r>
    </w:p>
    <w:p>
      <w:pPr>
        <w:spacing w:after="120"/>
        <w:jc w:val="both"/>
      </w:pPr>
      <w:r>
        <w:t xml:space="preserve">6.4. </w:t>
      </w:r>
      <w:r>
        <w:rPr>
          <w:b/>
          <w:bCs/>
        </w:rPr>
        <w:t xml:space="preserve">Critérios.</w:t>
      </w:r>
      <w:r>
        <w:t xml:space="preserve"> O Cliente Final avalia exclusivamente o </w:t>
      </w:r>
      <w:r>
        <w:rPr>
          <w:b/>
          <w:bCs/>
        </w:rPr>
        <w:t xml:space="preserve">Espaço</w:t>
      </w:r>
      <w:r>
        <w:t xml:space="preserve">, nos critérios: </w:t>
      </w:r>
      <w:r>
        <w:rPr>
          <w:b/>
          <w:bCs/>
        </w:rPr>
        <w:t xml:space="preserve">conforto, limpeza, acessibilidade e localização</w:t>
      </w:r>
      <w:r>
        <w:t xml:space="preserve">. Não se avalia o profissional (Locatário), o atendimento ou o tratamento recebido.</w:t>
      </w:r>
    </w:p>
    <w:p>
      <w:pPr>
        <w:spacing w:after="120"/>
        <w:jc w:val="both"/>
      </w:pPr>
      <w:r>
        <w:t xml:space="preserve">6.5. </w:t>
      </w:r>
      <w:r>
        <w:rPr>
          <w:b/>
          <w:bCs/>
        </w:rPr>
        <w:t xml:space="preserve">Proibição de dados de saúde.</w:t>
      </w:r>
      <w:r>
        <w:t xml:space="preserve"> É </w:t>
      </w:r>
      <w:r>
        <w:rPr>
          <w:b/>
          <w:bCs/>
        </w:rPr>
        <w:t xml:space="preserve">proibido</w:t>
      </w:r>
      <w:r>
        <w:t xml:space="preserve"> incluir nas avaliações de Clientes Finais </w:t>
      </w:r>
      <w:r>
        <w:rPr>
          <w:b/>
          <w:bCs/>
        </w:rPr>
        <w:t xml:space="preserve">dados de saúde, diagnósticos, tratamentos, procedimentos</w:t>
      </w:r>
      <w:r>
        <w:t xml:space="preserve">, nomes, documentos, contatos ou qualquer informação que permita identificar pacientes, clientes ou o motivo do atendimento. O formulário exibe esse aviso, e avaliações que violem esta regra são removidas.</w:t>
      </w:r>
    </w:p>
    <w:p>
      <w:pPr>
        <w:spacing w:after="120"/>
        <w:jc w:val="both"/>
      </w:pPr>
      <w:r>
        <w:t xml:space="preserve">6.6. </w:t>
      </w:r>
      <w:r>
        <w:rPr>
          <w:b/>
          <w:bCs/>
        </w:rPr>
        <w:t xml:space="preserve">Sigilo profissional.</w:t>
      </w:r>
      <w:r>
        <w:t xml:space="preserve"> O Locatário deve avaliar, à luz do seu código de ética profissional, se a entrega do convite é compatível com o sigilo do atendimento (por exemplo, em psicologia), sendo o único responsável por essa decisão. A entrega do link não pode ser condicionada a benefício nem feita de forma que exponha o paciente.</w:t>
      </w:r>
    </w:p>
    <w:p>
      <w:pPr>
        <w:spacing w:after="120"/>
        <w:jc w:val="both"/>
      </w:pPr>
      <w:r>
        <w:t xml:space="preserve">6.7. </w:t>
      </w:r>
      <w:r>
        <w:rPr>
          <w:b/>
          <w:bCs/>
        </w:rPr>
        <w:t xml:space="preserve">Exibição.</w:t>
      </w:r>
      <w:r>
        <w:t xml:space="preserve"> As avaliações de Clientes Finais são exibidas separadamente, identificadas como tal, e compõem indicadores próprios do Espaço.</w:t>
      </w:r>
    </w:p>
    <w:p>
      <w:pPr>
        <w:pStyle w:val="Heading2"/>
      </w:pPr>
      <w:r>
        <w:t xml:space="preserve">7. Regras de conteúdo</w:t>
      </w:r>
    </w:p>
    <w:p>
      <w:pPr>
        <w:spacing w:after="120"/>
        <w:jc w:val="both"/>
      </w:pPr>
      <w:r>
        <w:t xml:space="preserve">7.1. As avaliações devem ser honestas, baseadas na experiência real e relevantes para a Reserva. São proibidos conteúdos que:</w:t>
      </w:r>
    </w:p>
    <w:p>
      <w:pPr>
        <w:pStyle w:val="ListParagraph"/>
        <w:numPr>
          <w:ilvl w:val="0"/>
          <w:numId w:val="2"/>
        </w:numPr>
        <w:spacing w:after="60"/>
      </w:pPr>
      <w:r>
        <w:t xml:space="preserve">(a) contenham dados pessoais de terceiros, dados de saúde ou informações confidenciais;</w:t>
      </w:r>
    </w:p>
    <w:p>
      <w:pPr>
        <w:pStyle w:val="ListParagraph"/>
        <w:numPr>
          <w:ilvl w:val="0"/>
          <w:numId w:val="2"/>
        </w:numPr>
        <w:spacing w:after="60"/>
      </w:pPr>
      <w:r>
        <w:t xml:space="preserve">(b) sejam discriminatórios, ofensivos, obscenos, ameaçadores ou constituam assédio;</w:t>
      </w:r>
    </w:p>
    <w:p>
      <w:pPr>
        <w:pStyle w:val="ListParagraph"/>
        <w:numPr>
          <w:ilvl w:val="0"/>
          <w:numId w:val="2"/>
        </w:numPr>
        <w:spacing w:after="60"/>
      </w:pPr>
      <w:r>
        <w:t xml:space="preserve">(c) contenham linguagem de ódio ou incitação à violência;</w:t>
      </w:r>
    </w:p>
    <w:p>
      <w:pPr>
        <w:pStyle w:val="ListParagraph"/>
        <w:numPr>
          <w:ilvl w:val="0"/>
          <w:numId w:val="2"/>
        </w:numPr>
        <w:spacing w:after="60"/>
      </w:pPr>
      <w:r>
        <w:t xml:space="preserve">(d) contenham publicidade, links externos ou dados de contato;</w:t>
      </w:r>
    </w:p>
    <w:p>
      <w:pPr>
        <w:pStyle w:val="ListParagraph"/>
        <w:numPr>
          <w:ilvl w:val="0"/>
          <w:numId w:val="2"/>
        </w:numPr>
        <w:spacing w:after="60"/>
      </w:pPr>
      <w:r>
        <w:t xml:space="preserve">(e) se refiram a fatos alheios à Reserva ou a terceiros não envolvidos;</w:t>
      </w:r>
    </w:p>
    <w:p>
      <w:pPr>
        <w:pStyle w:val="ListParagraph"/>
        <w:numPr>
          <w:ilvl w:val="0"/>
          <w:numId w:val="2"/>
        </w:numPr>
        <w:spacing w:after="60"/>
      </w:pPr>
      <w:r>
        <w:t xml:space="preserve">(f) sejam deliberadamente falsos ou enganosos.</w:t>
      </w:r>
    </w:p>
    <w:p>
      <w:pPr>
        <w:pStyle w:val="Heading2"/>
      </w:pPr>
      <w:r>
        <w:t xml:space="preserve">8. Avaliações falsas, compradas e extorsão</w:t>
      </w:r>
    </w:p>
    <w:p>
      <w:pPr>
        <w:spacing w:after="120"/>
        <w:jc w:val="both"/>
      </w:pPr>
      <w:r>
        <w:t xml:space="preserve">8.1. É proibido: (a) avaliar sem ter participado da Reserva; (b) oferecer ou receber pagamento, desconto, reembolso ou benefício em troca de avaliação ou de sua remoção; (c) criar Reservas simuladas para gerar avaliações; (d) usar múltiplas contas; (e) </w:t>
      </w:r>
      <w:r>
        <w:rPr>
          <w:b/>
          <w:bCs/>
        </w:rPr>
        <w:t xml:space="preserve">ameaçar publicar avaliação negativa para obter vantagem</w:t>
      </w:r>
      <w:r>
        <w:t xml:space="preserve"> (extorsão) ou retaliar com avaliação negativa quem abriu Incidente legítimo; (f) gerar convites de Clientes Finais e preenchê-los pessoalmente ou por pessoas não atendidas.</w:t>
      </w:r>
    </w:p>
    <w:p>
      <w:pPr>
        <w:spacing w:after="120"/>
        <w:jc w:val="both"/>
      </w:pPr>
      <w:r>
        <w:t xml:space="preserve">8.2. Essas condutas são violação grave, sujeitam o infrator a Advertência e, conforme o caso, exclusão, além da remoção das avaliações envolvidas.</w:t>
      </w:r>
    </w:p>
    <w:p>
      <w:pPr>
        <w:pStyle w:val="Heading2"/>
      </w:pPr>
      <w:r>
        <w:t xml:space="preserve">9. Moderação e remoção</w:t>
      </w:r>
    </w:p>
    <w:p>
      <w:pPr>
        <w:spacing w:after="120"/>
        <w:jc w:val="both"/>
      </w:pPr>
      <w:r>
        <w:t xml:space="preserve">9.1. A Plataforma não edita o conteúdo das avaliações, mas pode </w:t>
      </w:r>
      <w:r>
        <w:rPr>
          <w:b/>
          <w:bCs/>
        </w:rPr>
        <w:t xml:space="preserve">remover</w:t>
      </w:r>
      <w:r>
        <w:t xml:space="preserve"> total ou parcialmente avaliações que violem este documento, a lei ou decisão judicial, ou ocultar avaliações vinculadas a Reserva cancelada por fraude.</w:t>
      </w:r>
    </w:p>
    <w:p>
      <w:pPr>
        <w:spacing w:after="120"/>
        <w:jc w:val="both"/>
      </w:pPr>
      <w:r>
        <w:t xml:space="preserve">9.2. Qualquer Usuário pode denunciar uma avaliação pela Plataforma. A análise é feita em prazo razoável, com comunicação ao autor em caso de remoção, que pode recorrer.</w:t>
      </w:r>
    </w:p>
    <w:p>
      <w:pPr>
        <w:spacing w:after="120"/>
        <w:jc w:val="both"/>
      </w:pPr>
      <w:r>
        <w:t xml:space="preserve">9.3. A Plataforma não remove avaliações apenas por serem negativas. Discordâncias devem ser tratadas por meio de resposta pública.</w:t>
      </w:r>
    </w:p>
    <w:p>
      <w:pPr>
        <w:spacing w:after="120"/>
        <w:jc w:val="both"/>
      </w:pPr>
      <w:r>
        <w:t xml:space="preserve">9.4. Avaliações relacionadas a Reserva objeto de Incidente podem ser mantidas ocultas até a decisão, para evitar retaliação.</w:t>
      </w:r>
    </w:p>
    <w:p>
      <w:pPr>
        <w:pStyle w:val="Heading2"/>
      </w:pPr>
      <w:r>
        <w:t xml:space="preserve">10. Uso das avaliações</w:t>
      </w:r>
    </w:p>
    <w:p>
      <w:pPr>
        <w:spacing w:after="120"/>
        <w:jc w:val="both"/>
      </w:pPr>
      <w:r>
        <w:t xml:space="preserve">10.1. As notas médias são calculadas a partir das avaliações publicadas e exibidas no perfil e no Anúncio. As avaliações podem ser consideradas na ordenação de resultados de busca e em programas de reconhecimento.</w:t>
      </w:r>
    </w:p>
    <w:p>
      <w:pPr>
        <w:spacing w:after="120"/>
        <w:jc w:val="both"/>
      </w:pPr>
      <w:r>
        <w:t xml:space="preserve">10.2. Em observância a normas de transparência (como o Regulamento de Serviços Digitais da União Europeia, a Diretiva 2005/29/CE alterada pela Diretiva (UE) 2019/2161, o Digital Markets, Competition and Consumers Act 2024 do Reino Unido, a FTC Rule on Consumer Reviews and Testimonials dos Estados Unidos e leis de defesa do consumidor), a Plataforma informa que apenas partes de Reservas efetivamente concluídas e Clientes Finais com link de convite válido podem avaliar. A Plataforma verifica o vínculo da avaliação com uma Reserva concluída, mas não verifica a identidade dos Clientes Finais, que avaliam de forma anônima.</w:t>
      </w:r>
    </w:p>
    <w:p>
      <w:pPr>
        <w:spacing w:after="120"/>
        <w:jc w:val="both"/>
      </w:pPr>
      <w:r>
        <w:t xml:space="preserve">10.3. É vedado suprimir avaliações negativas legítimas, inclusive por meio de ameaças, incentivos ou cláusulas contratuais que impeçam o Usuário de publicar avaliação honesta.</w:t>
      </w:r>
    </w:p>
    <w:p>
      <w:r>
        <w:br w:type="page"/>
      </w:r>
    </w:p>
    <w:p>
      <w:pPr>
        <w:pStyle w:val="Heading1"/>
      </w:pPr>
      <w:r>
        <w:t xml:space="preserve">Central de Resolução e Disputas</w:t>
      </w:r>
    </w:p>
    <w:p>
      <w:pPr>
        <w:spacing w:after="120"/>
        <w:jc w:val="both"/>
      </w:pPr>
      <w:r>
        <w:t xml:space="preserve">Versão 2026-09-25 · Vigência a partir de 25/09/2026</w:t>
      </w:r>
    </w:p>
    <w:p>
      <w:pPr>
        <w:pStyle w:val="Heading2"/>
      </w:pPr>
      <w:r>
        <w:t xml:space="preserve">1. Objeto e princípios</w:t>
      </w:r>
    </w:p>
    <w:p>
      <w:pPr>
        <w:spacing w:after="120"/>
        <w:jc w:val="both"/>
      </w:pPr>
      <w:r>
        <w:t xml:space="preserve">1.1. Este documento integra os Termos de Uso e disciplina a Central de Resolução, canal oficial da Plataforma para registrar Incidentes, negociar, mediar e decidir divergências entre Anfitriões, Locatários e Avalistas relacionadas a Reservas, bem como os recursos contra decisões da Plataforma.</w:t>
      </w:r>
    </w:p>
    <w:p>
      <w:pPr>
        <w:spacing w:after="120"/>
        <w:jc w:val="both"/>
      </w:pPr>
      <w:r>
        <w:t xml:space="preserve">1.2. A Central de Resolução observa os princípios de imparcialidade, contraditório, ampla defesa, celeridade, fundamentação das decisões e proporcionalidade.</w:t>
      </w:r>
    </w:p>
    <w:p>
      <w:pPr>
        <w:spacing w:after="120"/>
        <w:jc w:val="both"/>
      </w:pPr>
      <w:r>
        <w:t xml:space="preserve">1.3. O uso da Central de Resolução é gratuito e </w:t>
      </w:r>
      <w:r>
        <w:rPr>
          <w:b/>
          <w:bCs/>
        </w:rPr>
        <w:t xml:space="preserve">não impede</w:t>
      </w:r>
      <w:r>
        <w:t xml:space="preserve"> o Usuário de recorrer aos órgãos oficiais de defesa do consumidor ou ao Poder Judiciário a qualquer tempo.</w:t>
      </w:r>
    </w:p>
    <w:p>
      <w:pPr>
        <w:pStyle w:val="Heading2"/>
      </w:pPr>
      <w:r>
        <w:t xml:space="preserve">2. Como abrir um Incidente</w:t>
      </w:r>
    </w:p>
    <w:p>
      <w:pPr>
        <w:spacing w:after="120"/>
        <w:jc w:val="both"/>
      </w:pPr>
      <w:r>
        <w:t xml:space="preserve">2.1. O Incidente é aberto na página da Reserva, opção "Reportar problema", indicando:</w:t>
      </w:r>
    </w:p>
    <w:p>
      <w:pPr>
        <w:pStyle w:val="ListParagraph"/>
        <w:numPr>
          <w:ilvl w:val="0"/>
          <w:numId w:val="2"/>
        </w:numPr>
        <w:spacing w:after="60"/>
      </w:pPr>
      <w:r>
        <w:t xml:space="preserve">(a) o tipo de Incidente (por exemplo: atraso na saída, dano, limpeza extra, violação de regras, excesso de capacidade, atividade não autorizada, exercício ilegal de profissão, sublocação, fumo ou substâncias, multa de condomínio, assédio, pagamento fora da Plataforma, não comparecimento, anúncio impreciso, falta de acesso, segurança);</w:t>
      </w:r>
    </w:p>
    <w:p>
      <w:pPr>
        <w:pStyle w:val="ListParagraph"/>
        <w:numPr>
          <w:ilvl w:val="0"/>
          <w:numId w:val="2"/>
        </w:numPr>
        <w:spacing w:after="60"/>
      </w:pPr>
      <w:r>
        <w:t xml:space="preserve">(b) a descrição objetiva dos fatos;</w:t>
      </w:r>
    </w:p>
    <w:p>
      <w:pPr>
        <w:pStyle w:val="ListParagraph"/>
        <w:numPr>
          <w:ilvl w:val="0"/>
          <w:numId w:val="2"/>
        </w:numPr>
        <w:spacing w:after="60"/>
      </w:pPr>
      <w:r>
        <w:t xml:space="preserve">(c) as evidências (cláusula 3);</w:t>
      </w:r>
    </w:p>
    <w:p>
      <w:pPr>
        <w:pStyle w:val="ListParagraph"/>
        <w:numPr>
          <w:ilvl w:val="0"/>
          <w:numId w:val="2"/>
        </w:numPr>
        <w:spacing w:after="60"/>
      </w:pPr>
      <w:r>
        <w:t xml:space="preserve">(d) o valor solicitado, quando houver, com a respectiva comprovação.</w:t>
      </w:r>
    </w:p>
    <w:p>
      <w:pPr>
        <w:spacing w:after="120"/>
        <w:jc w:val="both"/>
      </w:pPr>
      <w:r>
        <w:t xml:space="preserve">2.2. </w:t>
      </w:r>
      <w:r>
        <w:rPr>
          <w:b/>
          <w:bCs/>
        </w:rPr>
        <w:t xml:space="preserve">Prazos para abertura</w:t>
      </w:r>
      <w:r>
        <w:t xml:space="preserve">, contados do término da Ocorrência: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6F2F1" w:color="auto" w:val="clear"/>
            <w:tcMar>
              <w:top w:type="dxa" w:w="60"/>
              <w:left w:type="dxa" w:w="100"/>
              <w:bottom w:type="dxa" w:w="60"/>
              <w:right w:type="dxa" w:w="100"/>
            </w:tcMar>
          </w:tcPr>
          <w:p>
            <w:r>
              <w:rPr>
                <w:b/>
                <w:bCs/>
                <w:sz w:val="19"/>
                <w:szCs w:val="19"/>
              </w:rPr>
              <w:t xml:space="preserve">Tipo</w:t>
            </w:r>
          </w:p>
        </w:tc>
        <w:tc>
          <w:tcPr>
            <w:tcW w:type="dxa" w:w="4819"/>
            <w:shd w:fill="E6F2F1" w:color="auto" w:val="clear"/>
            <w:tcMar>
              <w:top w:type="dxa" w:w="60"/>
              <w:left w:type="dxa" w:w="100"/>
              <w:bottom w:type="dxa" w:w="60"/>
              <w:right w:type="dxa" w:w="100"/>
            </w:tcMar>
          </w:tcPr>
          <w:p>
            <w:r>
              <w:rPr>
                <w:b/>
                <w:bCs/>
                <w:sz w:val="19"/>
                <w:szCs w:val="19"/>
              </w:rPr>
              <w:t xml:space="preserve">Prazo</w:t>
            </w:r>
          </w:p>
        </w:tc>
      </w:tr>
      <w:tr>
        <w:trPr>
          <w:tblHeader w:val="off"/>
        </w:trPr>
        <w:tc>
          <w:tcPr>
            <w:tcW w:type="dxa" w:w="4819"/>
            <w:tcMar>
              <w:top w:type="dxa" w:w="60"/>
              <w:left w:type="dxa" w:w="100"/>
              <w:bottom w:type="dxa" w:w="60"/>
              <w:right w:type="dxa" w:w="100"/>
            </w:tcMar>
          </w:tcPr>
          <w:p>
            <w:r>
              <w:rPr>
                <w:sz w:val="19"/>
                <w:szCs w:val="19"/>
              </w:rPr>
              <w:t xml:space="preserve">Atraso na saída, limpeza extra, fumo/substâncias, não comparecimento, anúncio impreciso, falta de acesso</w:t>
            </w:r>
          </w:p>
        </w:tc>
        <w:tc>
          <w:tcPr>
            <w:tcW w:type="dxa" w:w="4819"/>
            <w:tcMar>
              <w:top w:type="dxa" w:w="60"/>
              <w:left w:type="dxa" w:w="100"/>
              <w:bottom w:type="dxa" w:w="60"/>
              <w:right w:type="dxa" w:w="100"/>
            </w:tcMar>
          </w:tcPr>
          <w:p>
            <w:r>
              <w:rPr>
                <w:sz w:val="19"/>
                <w:szCs w:val="19"/>
              </w:rPr>
              <w:t xml:space="preserve">24 horas</w:t>
            </w:r>
          </w:p>
        </w:tc>
      </w:tr>
      <w:tr>
        <w:trPr>
          <w:tblHeader w:val="off"/>
        </w:trPr>
        <w:tc>
          <w:tcPr>
            <w:tcW w:type="dxa" w:w="4819"/>
            <w:tcMar>
              <w:top w:type="dxa" w:w="60"/>
              <w:left w:type="dxa" w:w="100"/>
              <w:bottom w:type="dxa" w:w="60"/>
              <w:right w:type="dxa" w:w="100"/>
            </w:tcMar>
          </w:tcPr>
          <w:p>
            <w:r>
              <w:rPr>
                <w:sz w:val="19"/>
                <w:szCs w:val="19"/>
              </w:rPr>
              <w:t xml:space="preserve">Dano, violação de regras, excesso de capacidade, atividade não autorizada, segurança</w:t>
            </w:r>
          </w:p>
        </w:tc>
        <w:tc>
          <w:tcPr>
            <w:tcW w:type="dxa" w:w="4819"/>
            <w:tcMar>
              <w:top w:type="dxa" w:w="60"/>
              <w:left w:type="dxa" w:w="100"/>
              <w:bottom w:type="dxa" w:w="60"/>
              <w:right w:type="dxa" w:w="100"/>
            </w:tcMar>
          </w:tcPr>
          <w:p>
            <w:r>
              <w:rPr>
                <w:sz w:val="19"/>
                <w:szCs w:val="19"/>
              </w:rPr>
              <w:t xml:space="preserve">72 horas</w:t>
            </w:r>
          </w:p>
        </w:tc>
      </w:tr>
      <w:tr>
        <w:trPr>
          <w:tblHeader w:val="off"/>
        </w:trPr>
        <w:tc>
          <w:tcPr>
            <w:tcW w:type="dxa" w:w="4819"/>
            <w:tcMar>
              <w:top w:type="dxa" w:w="60"/>
              <w:left w:type="dxa" w:w="100"/>
              <w:bottom w:type="dxa" w:w="60"/>
              <w:right w:type="dxa" w:w="100"/>
            </w:tcMar>
          </w:tcPr>
          <w:p>
            <w:r>
              <w:rPr>
                <w:sz w:val="19"/>
                <w:szCs w:val="19"/>
              </w:rPr>
              <w:t xml:space="preserve">Exercício ilegal de profissão (exclusão e comunicação às autoridades)</w:t>
            </w:r>
          </w:p>
        </w:tc>
        <w:tc>
          <w:tcPr>
            <w:tcW w:type="dxa" w:w="4819"/>
            <w:tcMar>
              <w:top w:type="dxa" w:w="60"/>
              <w:left w:type="dxa" w:w="100"/>
              <w:bottom w:type="dxa" w:w="60"/>
              <w:right w:type="dxa" w:w="100"/>
            </w:tcMar>
          </w:tcPr>
          <w:p>
            <w:r>
              <w:rPr>
                <w:sz w:val="19"/>
                <w:szCs w:val="19"/>
              </w:rPr>
              <w:t xml:space="preserve">A qualquer tempo (a penalidade pecuniária segue o prazo de 72 horas)</w:t>
            </w:r>
          </w:p>
        </w:tc>
      </w:tr>
      <w:tr>
        <w:trPr>
          <w:tblHeader w:val="off"/>
        </w:trPr>
        <w:tc>
          <w:tcPr>
            <w:tcW w:type="dxa" w:w="4819"/>
            <w:tcMar>
              <w:top w:type="dxa" w:w="60"/>
              <w:left w:type="dxa" w:w="100"/>
              <w:bottom w:type="dxa" w:w="60"/>
              <w:right w:type="dxa" w:w="100"/>
            </w:tcMar>
          </w:tcPr>
          <w:p>
            <w:r>
              <w:rPr>
                <w:sz w:val="19"/>
                <w:szCs w:val="19"/>
              </w:rPr>
              <w:t xml:space="preserve">Sublocação</w:t>
            </w:r>
          </w:p>
        </w:tc>
        <w:tc>
          <w:tcPr>
            <w:tcW w:type="dxa" w:w="4819"/>
            <w:tcMar>
              <w:top w:type="dxa" w:w="60"/>
              <w:left w:type="dxa" w:w="100"/>
              <w:bottom w:type="dxa" w:w="60"/>
              <w:right w:type="dxa" w:w="100"/>
            </w:tcMar>
          </w:tcPr>
          <w:p>
            <w:r>
              <w:rPr>
                <w:sz w:val="19"/>
                <w:szCs w:val="19"/>
              </w:rPr>
              <w:t xml:space="preserve">168 horas (7 dias)</w:t>
            </w:r>
          </w:p>
        </w:tc>
      </w:tr>
      <w:tr>
        <w:trPr>
          <w:tblHeader w:val="off"/>
        </w:trPr>
        <w:tc>
          <w:tcPr>
            <w:tcW w:type="dxa" w:w="4819"/>
            <w:tcMar>
              <w:top w:type="dxa" w:w="60"/>
              <w:left w:type="dxa" w:w="100"/>
              <w:bottom w:type="dxa" w:w="60"/>
              <w:right w:type="dxa" w:w="100"/>
            </w:tcMar>
          </w:tcPr>
          <w:p>
            <w:r>
              <w:rPr>
                <w:sz w:val="19"/>
                <w:szCs w:val="19"/>
              </w:rPr>
              <w:t xml:space="preserve">Multa de condomínio, assédio ou discriminação, pagamento fora da Plataforma</w:t>
            </w:r>
          </w:p>
        </w:tc>
        <w:tc>
          <w:tcPr>
            <w:tcW w:type="dxa" w:w="4819"/>
            <w:tcMar>
              <w:top w:type="dxa" w:w="60"/>
              <w:left w:type="dxa" w:w="100"/>
              <w:bottom w:type="dxa" w:w="60"/>
              <w:right w:type="dxa" w:w="100"/>
            </w:tcMar>
          </w:tcPr>
          <w:p>
            <w:r>
              <w:rPr>
                <w:sz w:val="19"/>
                <w:szCs w:val="19"/>
              </w:rPr>
              <w:t xml:space="preserve">720 horas (30 dias)</w:t>
            </w:r>
          </w:p>
        </w:tc>
      </w:tr>
    </w:tbl>
    <w:p/>
    <w:p>
      <w:pPr>
        <w:spacing w:after="120"/>
        <w:jc w:val="both"/>
      </w:pPr>
      <w:r>
        <w:t xml:space="preserve">2.3. </w:t>
      </w:r>
      <w:r>
        <w:rPr>
          <w:b/>
          <w:bCs/>
        </w:rPr>
        <w:t xml:space="preserve">Situações urgentes.</w:t>
      </w:r>
      <w:r>
        <w:t xml:space="preserve"> Em caso de risco à segurança de pessoas, acione primeiro os serviços de emergência locais e, em seguida, a Plataforma. Problemas de acesso ou de condições do Espaço no início da Ocorrência devem ser reportados imediatamente, para permitir solução em tempo real.</w:t>
      </w:r>
    </w:p>
    <w:p>
      <w:pPr>
        <w:spacing w:after="120"/>
        <w:jc w:val="both"/>
      </w:pPr>
      <w:r>
        <w:t xml:space="preserve">2.4. Questões sobre reembolso, cobranças e cancelamento que não envolvam conduta da outra parte podem ser apresentadas diretamente ao atendimento, pelo mesmo canal.</w:t>
      </w:r>
    </w:p>
    <w:p>
      <w:pPr>
        <w:pStyle w:val="Heading2"/>
      </w:pPr>
      <w:r>
        <w:t xml:space="preserve">3. Evidências</w:t>
      </w:r>
    </w:p>
    <w:p>
      <w:pPr>
        <w:spacing w:after="120"/>
        <w:jc w:val="both"/>
      </w:pPr>
      <w:r>
        <w:t xml:space="preserve">3.1. São admitidas evidências como:</w:t>
      </w:r>
    </w:p>
    <w:p>
      <w:pPr>
        <w:pStyle w:val="ListParagraph"/>
        <w:numPr>
          <w:ilvl w:val="0"/>
          <w:numId w:val="2"/>
        </w:numPr>
        <w:spacing w:after="60"/>
      </w:pPr>
      <w:r>
        <w:t xml:space="preserve">(a) </w:t>
      </w:r>
      <w:r>
        <w:rPr>
          <w:b/>
          <w:bCs/>
        </w:rPr>
        <w:t xml:space="preserve">fotos e vídeos com data e hora</w:t>
      </w:r>
      <w:r>
        <w:t xml:space="preserve">, especialmente os registrados no </w:t>
      </w:r>
      <w:r>
        <w:rPr>
          <w:b/>
          <w:bCs/>
        </w:rPr>
        <w:t xml:space="preserve">check-in e no check-out</w:t>
      </w:r>
      <w:r>
        <w:t xml:space="preserve"> pela Plataforma;</w:t>
      </w:r>
    </w:p>
    <w:p>
      <w:pPr>
        <w:pStyle w:val="ListParagraph"/>
        <w:numPr>
          <w:ilvl w:val="0"/>
          <w:numId w:val="2"/>
        </w:numPr>
        <w:spacing w:after="60"/>
      </w:pPr>
      <w:r>
        <w:t xml:space="preserve">(b) fotos do Anúncio e registros de manutenção anteriores;</w:t>
      </w:r>
    </w:p>
    <w:p>
      <w:pPr>
        <w:pStyle w:val="ListParagraph"/>
        <w:numPr>
          <w:ilvl w:val="0"/>
          <w:numId w:val="2"/>
        </w:numPr>
        <w:spacing w:after="60"/>
      </w:pPr>
      <w:r>
        <w:t xml:space="preserve">(c) mensagens trocadas pela Plataforma;</w:t>
      </w:r>
    </w:p>
    <w:p>
      <w:pPr>
        <w:pStyle w:val="ListParagraph"/>
        <w:numPr>
          <w:ilvl w:val="0"/>
          <w:numId w:val="2"/>
        </w:numPr>
        <w:spacing w:after="60"/>
      </w:pPr>
      <w:r>
        <w:t xml:space="preserve">(d) registros de acesso (portaria, fechadura eletrônica, câmeras de áreas comuns);</w:t>
      </w:r>
    </w:p>
    <w:p>
      <w:pPr>
        <w:pStyle w:val="ListParagraph"/>
        <w:numPr>
          <w:ilvl w:val="0"/>
          <w:numId w:val="2"/>
        </w:numPr>
        <w:spacing w:after="60"/>
      </w:pPr>
      <w:r>
        <w:t xml:space="preserve">(e) orçamentos, notas fiscais e recibos de reparo ou limpeza;</w:t>
      </w:r>
    </w:p>
    <w:p>
      <w:pPr>
        <w:pStyle w:val="ListParagraph"/>
        <w:numPr>
          <w:ilvl w:val="0"/>
          <w:numId w:val="2"/>
        </w:numPr>
        <w:spacing w:after="60"/>
      </w:pPr>
      <w:r>
        <w:t xml:space="preserve">(f) notificação de multa do condomínio;</w:t>
      </w:r>
    </w:p>
    <w:p>
      <w:pPr>
        <w:pStyle w:val="ListParagraph"/>
        <w:numPr>
          <w:ilvl w:val="0"/>
          <w:numId w:val="2"/>
        </w:numPr>
        <w:spacing w:after="60"/>
      </w:pPr>
      <w:r>
        <w:t xml:space="preserve">(g) boletins de ocorrência, laudos, atestados e documentos oficiais.</w:t>
      </w:r>
    </w:p>
    <w:p>
      <w:pPr>
        <w:spacing w:after="120"/>
        <w:jc w:val="both"/>
      </w:pPr>
      <w:r>
        <w:t xml:space="preserve">3.2. As evidências não podem conter dados de saúde ou dados que identifiquem Clientes Finais; quando inevitável, devem ser anonimizadas ou tarjadas.</w:t>
      </w:r>
    </w:p>
    <w:p>
      <w:pPr>
        <w:spacing w:after="120"/>
        <w:jc w:val="both"/>
      </w:pPr>
      <w:r>
        <w:t xml:space="preserve">3.3. Mensagens trocadas fora da Plataforma têm valor probatório reduzido e não substituem os registros da Plataforma.</w:t>
      </w:r>
    </w:p>
    <w:p>
      <w:pPr>
        <w:pStyle w:val="Heading2"/>
      </w:pPr>
      <w:r>
        <w:t xml:space="preserve">4. Resposta e negociação</w:t>
      </w:r>
    </w:p>
    <w:p>
      <w:pPr>
        <w:spacing w:after="120"/>
        <w:jc w:val="both"/>
      </w:pPr>
      <w:r>
        <w:t xml:space="preserve">4.1. A parte contra quem o Incidente foi aberto (e o Avalista, quando puder ser acionado) é notificada e tem </w:t>
      </w:r>
      <w:r>
        <w:rPr>
          <w:b/>
          <w:bCs/>
        </w:rPr>
        <w:t xml:space="preserve">48 horas</w:t>
      </w:r>
      <w:r>
        <w:t xml:space="preserve"> para: (a) aceitar; (b) contestar, com suas evidências; ou (c) apresentar contraproposta.</w:t>
      </w:r>
    </w:p>
    <w:p>
      <w:pPr>
        <w:spacing w:after="120"/>
        <w:jc w:val="both"/>
      </w:pPr>
      <w:r>
        <w:t xml:space="preserve">4.2. Durante esse prazo, as partes podem negociar pela Central de Resolução. O acordo registrado encerra o Incidente e é executado pela Plataforma.</w:t>
      </w:r>
    </w:p>
    <w:p>
      <w:pPr>
        <w:spacing w:after="120"/>
        <w:jc w:val="both"/>
      </w:pPr>
      <w:r>
        <w:t xml:space="preserve">4.3. Sem resposta em 48 horas, o Incidente segue para análise com base nas evidências disponíveis.</w:t>
      </w:r>
    </w:p>
    <w:p>
      <w:pPr>
        <w:pStyle w:val="Heading2"/>
      </w:pPr>
      <w:r>
        <w:t xml:space="preserve">5. Mediação e decisão pela Plataforma</w:t>
      </w:r>
    </w:p>
    <w:p>
      <w:pPr>
        <w:spacing w:after="120"/>
        <w:jc w:val="both"/>
      </w:pPr>
      <w:r>
        <w:t xml:space="preserve">5.1. Havendo contestação ou ausência de acordo, a equipe da Plataforma atua como </w:t>
      </w:r>
      <w:r>
        <w:rPr>
          <w:b/>
          <w:bCs/>
        </w:rPr>
        <w:t xml:space="preserve">mediadora</w:t>
      </w:r>
      <w:r>
        <w:t xml:space="preserve">, podendo solicitar informações adicionais às partes, com prazo razoável de resposta.</w:t>
      </w:r>
    </w:p>
    <w:p>
      <w:pPr>
        <w:spacing w:after="120"/>
        <w:jc w:val="both"/>
      </w:pPr>
      <w:r>
        <w:t xml:space="preserve">5.2. Não havendo acordo, a Plataforma </w:t>
      </w:r>
      <w:r>
        <w:rPr>
          <w:b/>
          <w:bCs/>
        </w:rPr>
        <w:t xml:space="preserve">decide</w:t>
      </w:r>
      <w:r>
        <w:t xml:space="preserve"> fundamentadamente, com base nos Termos, nas Regras de Reserva e Uso, em Penalidades e Medidas, nas normas do Anúncio e nas evidências, podendo: rejeitar o pedido; acolher total ou parcialmente o valor; aplicar ou não Advertência; determinar reembolso; ou aplicar medidas de suspensão ou exclusão.</w:t>
      </w:r>
    </w:p>
    <w:p>
      <w:pPr>
        <w:spacing w:after="120"/>
        <w:jc w:val="both"/>
      </w:pPr>
      <w:r>
        <w:t xml:space="preserve">5.3. A decisão indica o valor, a origem da cobrança (Caução, meio de pagamento ou Avalista), eventual Advertência e a motivação. A Plataforma envida esforços para decidir em até 10 dias úteis após o término do prazo de resposta.</w:t>
      </w:r>
    </w:p>
    <w:p>
      <w:pPr>
        <w:spacing w:after="120"/>
        <w:jc w:val="both"/>
      </w:pPr>
      <w:r>
        <w:t xml:space="preserve">5.4. A decisão da Plataforma é administrativa e contratual: vincula as partes no âmbito da Plataforma, mas </w:t>
      </w:r>
      <w:r>
        <w:rPr>
          <w:b/>
          <w:bCs/>
        </w:rPr>
        <w:t xml:space="preserve">não impede a discussão judicial</w:t>
      </w:r>
      <w:r>
        <w:t xml:space="preserve"> do mérito.</w:t>
      </w:r>
    </w:p>
    <w:p>
      <w:pPr>
        <w:pStyle w:val="Heading2"/>
      </w:pPr>
      <w:r>
        <w:t xml:space="preserve">6. Recurso</w:t>
      </w:r>
    </w:p>
    <w:p>
      <w:pPr>
        <w:spacing w:after="120"/>
        <w:jc w:val="both"/>
      </w:pPr>
      <w:r>
        <w:t xml:space="preserve">6.1. Qualquer parte pode interpor </w:t>
      </w:r>
      <w:r>
        <w:rPr>
          <w:b/>
          <w:bCs/>
        </w:rPr>
        <w:t xml:space="preserve">recurso em até 7 dias</w:t>
      </w:r>
      <w:r>
        <w:t xml:space="preserve"> da notificação da decisão, pela própria Central de Resolução, apresentando os fundamentos e eventuais novas evidências.</w:t>
      </w:r>
    </w:p>
    <w:p>
      <w:pPr>
        <w:spacing w:after="120"/>
        <w:jc w:val="both"/>
      </w:pPr>
      <w:r>
        <w:t xml:space="preserve">6.2. O recurso é analisado por pessoa diferente da que proferiu a decisão original. A cobrança decidida pode ser suspensa durante o recurso, salvo em casos de falta grave ou risco à segurança.</w:t>
      </w:r>
    </w:p>
    <w:p>
      <w:pPr>
        <w:spacing w:after="120"/>
        <w:jc w:val="both"/>
      </w:pPr>
      <w:r>
        <w:t xml:space="preserve">6.3. Se o recurso for provido, a Plataforma devolve os valores cobrados e remove Advertências indevidas. A decisão do recurso encerra a instância administrativa na Plataforma.</w:t>
      </w:r>
    </w:p>
    <w:p>
      <w:pPr>
        <w:spacing w:after="120"/>
        <w:jc w:val="both"/>
      </w:pPr>
      <w:r>
        <w:t xml:space="preserve">6.4. Suspensões e exclusões de conta também podem ser objeto de recurso no mesmo prazo. Na União Europeia, o Usuário conta também com o sistema interno de gestão de reclamações (art. 20) e com os órgãos certificados de resolução extrajudicial de litígios (art. 21) previstos no Regulamento de Serviços Digitais (DSA). Anfitriões profissionais contam ainda com o sistema interno de reclamações e a mediação previstos no Regulamento (UE) 2019/1150 (P2B).</w:t>
      </w:r>
    </w:p>
    <w:p>
      <w:pPr>
        <w:pStyle w:val="Heading2"/>
      </w:pPr>
      <w:r>
        <w:t xml:space="preserve">7. Canais oficiais de defesa do consumidor</w:t>
      </w:r>
    </w:p>
    <w:p>
      <w:pPr>
        <w:spacing w:after="120"/>
        <w:jc w:val="both"/>
      </w:pPr>
      <w:r>
        <w:t xml:space="preserve">7.1. Sem prejuízo da Central de Resolução, o Usuário consumidor pode recorrer aos órgãos oficiais do seu país, entre os quais: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6F2F1" w:color="auto" w:val="clear"/>
            <w:tcMar>
              <w:top w:type="dxa" w:w="60"/>
              <w:left w:type="dxa" w:w="100"/>
              <w:bottom w:type="dxa" w:w="60"/>
              <w:right w:type="dxa" w:w="100"/>
            </w:tcMar>
          </w:tcPr>
          <w:p>
            <w:r>
              <w:rPr>
                <w:b/>
                <w:bCs/>
                <w:sz w:val="19"/>
                <w:szCs w:val="19"/>
              </w:rPr>
              <w:t xml:space="preserve">País</w:t>
            </w:r>
          </w:p>
        </w:tc>
        <w:tc>
          <w:tcPr>
            <w:tcW w:type="dxa" w:w="4819"/>
            <w:shd w:fill="E6F2F1" w:color="auto" w:val="clear"/>
            <w:tcMar>
              <w:top w:type="dxa" w:w="60"/>
              <w:left w:type="dxa" w:w="100"/>
              <w:bottom w:type="dxa" w:w="60"/>
              <w:right w:type="dxa" w:w="100"/>
            </w:tcMar>
          </w:tcPr>
          <w:p>
            <w:r>
              <w:rPr>
                <w:b/>
                <w:bCs/>
                <w:sz w:val="19"/>
                <w:szCs w:val="19"/>
              </w:rPr>
              <w:t xml:space="preserve">Canais</w:t>
            </w:r>
          </w:p>
        </w:tc>
      </w:tr>
      <w:tr>
        <w:trPr>
          <w:tblHeader w:val="off"/>
        </w:trPr>
        <w:tc>
          <w:tcPr>
            <w:tcW w:type="dxa" w:w="4819"/>
            <w:tcMar>
              <w:top w:type="dxa" w:w="60"/>
              <w:left w:type="dxa" w:w="100"/>
              <w:bottom w:type="dxa" w:w="60"/>
              <w:right w:type="dxa" w:w="100"/>
            </w:tcMar>
          </w:tcPr>
          <w:p>
            <w:r>
              <w:rPr>
                <w:sz w:val="19"/>
                <w:szCs w:val="19"/>
              </w:rPr>
              <w:t xml:space="preserve">Brasil</w:t>
            </w:r>
          </w:p>
        </w:tc>
        <w:tc>
          <w:tcPr>
            <w:tcW w:type="dxa" w:w="4819"/>
            <w:tcMar>
              <w:top w:type="dxa" w:w="60"/>
              <w:left w:type="dxa" w:w="100"/>
              <w:bottom w:type="dxa" w:w="60"/>
              <w:right w:type="dxa" w:w="100"/>
            </w:tcMar>
          </w:tcPr>
          <w:p>
            <w:r>
              <w:rPr>
                <w:sz w:val="19"/>
                <w:szCs w:val="19"/>
              </w:rPr>
              <w:t xml:space="preserve">Procon estadual/municipal; </w:t>
            </w:r>
            <w:r>
              <w:rPr>
                <w:b/>
                <w:bCs/>
                <w:sz w:val="19"/>
                <w:szCs w:val="19"/>
              </w:rPr>
              <w:t xml:space="preserve">consumidor.gov.br</w:t>
            </w:r>
            <w:r>
              <w:rPr>
                <w:sz w:val="19"/>
                <w:szCs w:val="19"/>
              </w:rPr>
              <w:t xml:space="preserve">; Juizados Especiais Cíveis</w:t>
            </w:r>
          </w:p>
        </w:tc>
      </w:tr>
      <w:tr>
        <w:trPr>
          <w:tblHeader w:val="off"/>
        </w:trPr>
        <w:tc>
          <w:tcPr>
            <w:tcW w:type="dxa" w:w="4819"/>
            <w:tcMar>
              <w:top w:type="dxa" w:w="60"/>
              <w:left w:type="dxa" w:w="100"/>
              <w:bottom w:type="dxa" w:w="60"/>
              <w:right w:type="dxa" w:w="100"/>
            </w:tcMar>
          </w:tcPr>
          <w:p>
            <w:r>
              <w:rPr>
                <w:sz w:val="19"/>
                <w:szCs w:val="19"/>
              </w:rPr>
              <w:t xml:space="preserve">Argentina</w:t>
            </w:r>
          </w:p>
        </w:tc>
        <w:tc>
          <w:tcPr>
            <w:tcW w:type="dxa" w:w="4819"/>
            <w:tcMar>
              <w:top w:type="dxa" w:w="60"/>
              <w:left w:type="dxa" w:w="100"/>
              <w:bottom w:type="dxa" w:w="60"/>
              <w:right w:type="dxa" w:w="100"/>
            </w:tcMar>
          </w:tcPr>
          <w:p>
            <w:r>
              <w:rPr>
                <w:sz w:val="19"/>
                <w:szCs w:val="19"/>
              </w:rPr>
              <w:t xml:space="preserve">Ventanilla Única Federal de Defensa del Consumidor; COPREC; "Botón de arrepentimiento" na Plataforma</w:t>
            </w:r>
          </w:p>
        </w:tc>
      </w:tr>
      <w:tr>
        <w:trPr>
          <w:tblHeader w:val="off"/>
        </w:trPr>
        <w:tc>
          <w:tcPr>
            <w:tcW w:type="dxa" w:w="4819"/>
            <w:tcMar>
              <w:top w:type="dxa" w:w="60"/>
              <w:left w:type="dxa" w:w="100"/>
              <w:bottom w:type="dxa" w:w="60"/>
              <w:right w:type="dxa" w:w="100"/>
            </w:tcMar>
          </w:tcPr>
          <w:p>
            <w:r>
              <w:rPr>
                <w:sz w:val="19"/>
                <w:szCs w:val="19"/>
              </w:rPr>
              <w:t xml:space="preserve">Chile</w:t>
            </w:r>
          </w:p>
        </w:tc>
        <w:tc>
          <w:tcPr>
            <w:tcW w:type="dxa" w:w="4819"/>
            <w:tcMar>
              <w:top w:type="dxa" w:w="60"/>
              <w:left w:type="dxa" w:w="100"/>
              <w:bottom w:type="dxa" w:w="60"/>
              <w:right w:type="dxa" w:w="100"/>
            </w:tcMar>
          </w:tcPr>
          <w:p>
            <w:r>
              <w:rPr>
                <w:sz w:val="19"/>
                <w:szCs w:val="19"/>
              </w:rPr>
              <w:t xml:space="preserve">SERNAC</w:t>
            </w:r>
          </w:p>
        </w:tc>
      </w:tr>
      <w:tr>
        <w:trPr>
          <w:tblHeader w:val="off"/>
        </w:trPr>
        <w:tc>
          <w:tcPr>
            <w:tcW w:type="dxa" w:w="4819"/>
            <w:tcMar>
              <w:top w:type="dxa" w:w="60"/>
              <w:left w:type="dxa" w:w="100"/>
              <w:bottom w:type="dxa" w:w="60"/>
              <w:right w:type="dxa" w:w="100"/>
            </w:tcMar>
          </w:tcPr>
          <w:p>
            <w:r>
              <w:rPr>
                <w:sz w:val="19"/>
                <w:szCs w:val="19"/>
              </w:rPr>
              <w:t xml:space="preserve">Colômbia</w:t>
            </w:r>
          </w:p>
        </w:tc>
        <w:tc>
          <w:tcPr>
            <w:tcW w:type="dxa" w:w="4819"/>
            <w:tcMar>
              <w:top w:type="dxa" w:w="60"/>
              <w:left w:type="dxa" w:w="100"/>
              <w:bottom w:type="dxa" w:w="60"/>
              <w:right w:type="dxa" w:w="100"/>
            </w:tcMar>
          </w:tcPr>
          <w:p>
            <w:r>
              <w:rPr>
                <w:sz w:val="19"/>
                <w:szCs w:val="19"/>
              </w:rPr>
              <w:t xml:space="preserve">Superintendencia de Industria y Comercio (SIC); pedido de reversión del pago (Ley 1480, art. 51)</w:t>
            </w:r>
          </w:p>
        </w:tc>
      </w:tr>
      <w:tr>
        <w:trPr>
          <w:tblHeader w:val="off"/>
        </w:trPr>
        <w:tc>
          <w:tcPr>
            <w:tcW w:type="dxa" w:w="4819"/>
            <w:tcMar>
              <w:top w:type="dxa" w:w="60"/>
              <w:left w:type="dxa" w:w="100"/>
              <w:bottom w:type="dxa" w:w="60"/>
              <w:right w:type="dxa" w:w="100"/>
            </w:tcMar>
          </w:tcPr>
          <w:p>
            <w:r>
              <w:rPr>
                <w:sz w:val="19"/>
                <w:szCs w:val="19"/>
              </w:rPr>
              <w:t xml:space="preserve">Peru</w:t>
            </w:r>
          </w:p>
        </w:tc>
        <w:tc>
          <w:tcPr>
            <w:tcW w:type="dxa" w:w="4819"/>
            <w:tcMar>
              <w:top w:type="dxa" w:w="60"/>
              <w:left w:type="dxa" w:w="100"/>
              <w:bottom w:type="dxa" w:w="60"/>
              <w:right w:type="dxa" w:w="100"/>
            </w:tcMar>
          </w:tcPr>
          <w:p>
            <w:r>
              <w:rPr>
                <w:sz w:val="19"/>
                <w:szCs w:val="19"/>
              </w:rPr>
              <w:t xml:space="preserve">INDECOPI; </w:t>
            </w:r>
            <w:r>
              <w:rPr>
                <w:b/>
                <w:bCs/>
                <w:sz w:val="19"/>
                <w:szCs w:val="19"/>
              </w:rPr>
              <w:t xml:space="preserve">Libro de Reclamaciones virtual</w:t>
            </w:r>
            <w:r>
              <w:rPr>
                <w:sz w:val="19"/>
                <w:szCs w:val="19"/>
              </w:rPr>
              <w:t xml:space="preserve"> da Plataforma (obrigatório)</w:t>
            </w:r>
          </w:p>
        </w:tc>
      </w:tr>
      <w:tr>
        <w:trPr>
          <w:tblHeader w:val="off"/>
        </w:trPr>
        <w:tc>
          <w:tcPr>
            <w:tcW w:type="dxa" w:w="4819"/>
            <w:tcMar>
              <w:top w:type="dxa" w:w="60"/>
              <w:left w:type="dxa" w:w="100"/>
              <w:bottom w:type="dxa" w:w="60"/>
              <w:right w:type="dxa" w:w="100"/>
            </w:tcMar>
          </w:tcPr>
          <w:p>
            <w:r>
              <w:rPr>
                <w:sz w:val="19"/>
                <w:szCs w:val="19"/>
              </w:rPr>
              <w:t xml:space="preserve">Uruguai</w:t>
            </w:r>
          </w:p>
        </w:tc>
        <w:tc>
          <w:tcPr>
            <w:tcW w:type="dxa" w:w="4819"/>
            <w:tcMar>
              <w:top w:type="dxa" w:w="60"/>
              <w:left w:type="dxa" w:w="100"/>
              <w:bottom w:type="dxa" w:w="60"/>
              <w:right w:type="dxa" w:w="100"/>
            </w:tcMar>
          </w:tcPr>
          <w:p>
            <w:r>
              <w:rPr>
                <w:sz w:val="19"/>
                <w:szCs w:val="19"/>
              </w:rPr>
              <w:t xml:space="preserve">Área de Defensa del Consumidor (MEF)</w:t>
            </w:r>
          </w:p>
        </w:tc>
      </w:tr>
      <w:tr>
        <w:trPr>
          <w:tblHeader w:val="off"/>
        </w:trPr>
        <w:tc>
          <w:tcPr>
            <w:tcW w:type="dxa" w:w="4819"/>
            <w:tcMar>
              <w:top w:type="dxa" w:w="60"/>
              <w:left w:type="dxa" w:w="100"/>
              <w:bottom w:type="dxa" w:w="60"/>
              <w:right w:type="dxa" w:w="100"/>
            </w:tcMar>
          </w:tcPr>
          <w:p>
            <w:r>
              <w:rPr>
                <w:sz w:val="19"/>
                <w:szCs w:val="19"/>
              </w:rPr>
              <w:t xml:space="preserve">Equador</w:t>
            </w:r>
          </w:p>
        </w:tc>
        <w:tc>
          <w:tcPr>
            <w:tcW w:type="dxa" w:w="4819"/>
            <w:tcMar>
              <w:top w:type="dxa" w:w="60"/>
              <w:left w:type="dxa" w:w="100"/>
              <w:bottom w:type="dxa" w:w="60"/>
              <w:right w:type="dxa" w:w="100"/>
            </w:tcMar>
          </w:tcPr>
          <w:p>
            <w:r>
              <w:rPr>
                <w:sz w:val="19"/>
                <w:szCs w:val="19"/>
              </w:rPr>
              <w:t xml:space="preserve">Defensoría del Pueblo</w:t>
            </w:r>
          </w:p>
        </w:tc>
      </w:tr>
      <w:tr>
        <w:trPr>
          <w:tblHeader w:val="off"/>
        </w:trPr>
        <w:tc>
          <w:tcPr>
            <w:tcW w:type="dxa" w:w="4819"/>
            <w:tcMar>
              <w:top w:type="dxa" w:w="60"/>
              <w:left w:type="dxa" w:w="100"/>
              <w:bottom w:type="dxa" w:w="60"/>
              <w:right w:type="dxa" w:w="100"/>
            </w:tcMar>
          </w:tcPr>
          <w:p>
            <w:r>
              <w:rPr>
                <w:sz w:val="19"/>
                <w:szCs w:val="19"/>
              </w:rPr>
              <w:t xml:space="preserve">Paraguai</w:t>
            </w:r>
          </w:p>
        </w:tc>
        <w:tc>
          <w:tcPr>
            <w:tcW w:type="dxa" w:w="4819"/>
            <w:tcMar>
              <w:top w:type="dxa" w:w="60"/>
              <w:left w:type="dxa" w:w="100"/>
              <w:bottom w:type="dxa" w:w="60"/>
              <w:right w:type="dxa" w:w="100"/>
            </w:tcMar>
          </w:tcPr>
          <w:p>
            <w:r>
              <w:rPr>
                <w:sz w:val="19"/>
                <w:szCs w:val="19"/>
              </w:rPr>
              <w:t xml:space="preserve">SEDECO</w:t>
            </w:r>
          </w:p>
        </w:tc>
      </w:tr>
      <w:tr>
        <w:trPr>
          <w:tblHeader w:val="off"/>
        </w:trPr>
        <w:tc>
          <w:tcPr>
            <w:tcW w:type="dxa" w:w="4819"/>
            <w:tcMar>
              <w:top w:type="dxa" w:w="60"/>
              <w:left w:type="dxa" w:w="100"/>
              <w:bottom w:type="dxa" w:w="60"/>
              <w:right w:type="dxa" w:w="100"/>
            </w:tcMar>
          </w:tcPr>
          <w:p>
            <w:r>
              <w:rPr>
                <w:sz w:val="19"/>
                <w:szCs w:val="19"/>
              </w:rPr>
              <w:t xml:space="preserve">Bolívia</w:t>
            </w:r>
          </w:p>
        </w:tc>
        <w:tc>
          <w:tcPr>
            <w:tcW w:type="dxa" w:w="4819"/>
            <w:tcMar>
              <w:top w:type="dxa" w:w="60"/>
              <w:left w:type="dxa" w:w="100"/>
              <w:bottom w:type="dxa" w:w="60"/>
              <w:right w:type="dxa" w:w="100"/>
            </w:tcMar>
          </w:tcPr>
          <w:p>
            <w:r>
              <w:rPr>
                <w:sz w:val="19"/>
                <w:szCs w:val="19"/>
              </w:rPr>
              <w:t xml:space="preserve">Viceministerio de Defensa de los Derechos del Usuario y del Consumidor</w:t>
            </w:r>
          </w:p>
        </w:tc>
      </w:tr>
      <w:tr>
        <w:trPr>
          <w:tblHeader w:val="off"/>
        </w:trPr>
        <w:tc>
          <w:tcPr>
            <w:tcW w:type="dxa" w:w="4819"/>
            <w:tcMar>
              <w:top w:type="dxa" w:w="60"/>
              <w:left w:type="dxa" w:w="100"/>
              <w:bottom w:type="dxa" w:w="60"/>
              <w:right w:type="dxa" w:w="100"/>
            </w:tcMar>
          </w:tcPr>
          <w:p>
            <w:r>
              <w:rPr>
                <w:sz w:val="19"/>
                <w:szCs w:val="19"/>
              </w:rPr>
              <w:t xml:space="preserve">México</w:t>
            </w:r>
          </w:p>
        </w:tc>
        <w:tc>
          <w:tcPr>
            <w:tcW w:type="dxa" w:w="4819"/>
            <w:tcMar>
              <w:top w:type="dxa" w:w="60"/>
              <w:left w:type="dxa" w:w="100"/>
              <w:bottom w:type="dxa" w:w="60"/>
              <w:right w:type="dxa" w:w="100"/>
            </w:tcMar>
          </w:tcPr>
          <w:p>
            <w:r>
              <w:rPr>
                <w:b/>
                <w:bCs/>
                <w:sz w:val="19"/>
                <w:szCs w:val="19"/>
              </w:rPr>
              <w:t xml:space="preserve">PROFECO</w:t>
            </w:r>
            <w:r>
              <w:rPr>
                <w:sz w:val="19"/>
                <w:szCs w:val="19"/>
              </w:rPr>
              <w:t xml:space="preserve"> (Concilianet)</w:t>
            </w:r>
          </w:p>
        </w:tc>
      </w:tr>
      <w:tr>
        <w:trPr>
          <w:tblHeader w:val="off"/>
        </w:trPr>
        <w:tc>
          <w:tcPr>
            <w:tcW w:type="dxa" w:w="4819"/>
            <w:tcMar>
              <w:top w:type="dxa" w:w="60"/>
              <w:left w:type="dxa" w:w="100"/>
              <w:bottom w:type="dxa" w:w="60"/>
              <w:right w:type="dxa" w:w="100"/>
            </w:tcMar>
          </w:tcPr>
          <w:p>
            <w:r>
              <w:rPr>
                <w:sz w:val="19"/>
                <w:szCs w:val="19"/>
              </w:rPr>
              <w:t xml:space="preserve">Panamá</w:t>
            </w:r>
          </w:p>
        </w:tc>
        <w:tc>
          <w:tcPr>
            <w:tcW w:type="dxa" w:w="4819"/>
            <w:tcMar>
              <w:top w:type="dxa" w:w="60"/>
              <w:left w:type="dxa" w:w="100"/>
              <w:bottom w:type="dxa" w:w="60"/>
              <w:right w:type="dxa" w:w="100"/>
            </w:tcMar>
          </w:tcPr>
          <w:p>
            <w:r>
              <w:rPr>
                <w:sz w:val="19"/>
                <w:szCs w:val="19"/>
              </w:rPr>
              <w:t xml:space="preserve">ACODECO</w:t>
            </w:r>
          </w:p>
        </w:tc>
      </w:tr>
      <w:tr>
        <w:trPr>
          <w:tblHeader w:val="off"/>
        </w:trPr>
        <w:tc>
          <w:tcPr>
            <w:tcW w:type="dxa" w:w="4819"/>
            <w:tcMar>
              <w:top w:type="dxa" w:w="60"/>
              <w:left w:type="dxa" w:w="100"/>
              <w:bottom w:type="dxa" w:w="60"/>
              <w:right w:type="dxa" w:w="100"/>
            </w:tcMar>
          </w:tcPr>
          <w:p>
            <w:r>
              <w:rPr>
                <w:sz w:val="19"/>
                <w:szCs w:val="19"/>
              </w:rPr>
              <w:t xml:space="preserve">Costa Rica</w:t>
            </w:r>
          </w:p>
        </w:tc>
        <w:tc>
          <w:tcPr>
            <w:tcW w:type="dxa" w:w="4819"/>
            <w:tcMar>
              <w:top w:type="dxa" w:w="60"/>
              <w:left w:type="dxa" w:w="100"/>
              <w:bottom w:type="dxa" w:w="60"/>
              <w:right w:type="dxa" w:w="100"/>
            </w:tcMar>
          </w:tcPr>
          <w:p>
            <w:r>
              <w:rPr>
                <w:sz w:val="19"/>
                <w:szCs w:val="19"/>
              </w:rPr>
              <w:t xml:space="preserve">MEIC — Dirección de Apoyo al Consumidor</w:t>
            </w:r>
          </w:p>
        </w:tc>
      </w:tr>
      <w:tr>
        <w:trPr>
          <w:tblHeader w:val="off"/>
        </w:trPr>
        <w:tc>
          <w:tcPr>
            <w:tcW w:type="dxa" w:w="4819"/>
            <w:tcMar>
              <w:top w:type="dxa" w:w="60"/>
              <w:left w:type="dxa" w:w="100"/>
              <w:bottom w:type="dxa" w:w="60"/>
              <w:right w:type="dxa" w:w="100"/>
            </w:tcMar>
          </w:tcPr>
          <w:p>
            <w:r>
              <w:rPr>
                <w:sz w:val="19"/>
                <w:szCs w:val="19"/>
              </w:rPr>
              <w:t xml:space="preserve">Guatemala</w:t>
            </w:r>
          </w:p>
        </w:tc>
        <w:tc>
          <w:tcPr>
            <w:tcW w:type="dxa" w:w="4819"/>
            <w:tcMar>
              <w:top w:type="dxa" w:w="60"/>
              <w:left w:type="dxa" w:w="100"/>
              <w:bottom w:type="dxa" w:w="60"/>
              <w:right w:type="dxa" w:w="100"/>
            </w:tcMar>
          </w:tcPr>
          <w:p>
            <w:r>
              <w:rPr>
                <w:sz w:val="19"/>
                <w:szCs w:val="19"/>
              </w:rPr>
              <w:t xml:space="preserve">DIACO</w:t>
            </w:r>
          </w:p>
        </w:tc>
      </w:tr>
      <w:tr>
        <w:trPr>
          <w:tblHeader w:val="off"/>
        </w:trPr>
        <w:tc>
          <w:tcPr>
            <w:tcW w:type="dxa" w:w="4819"/>
            <w:tcMar>
              <w:top w:type="dxa" w:w="60"/>
              <w:left w:type="dxa" w:w="100"/>
              <w:bottom w:type="dxa" w:w="60"/>
              <w:right w:type="dxa" w:w="100"/>
            </w:tcMar>
          </w:tcPr>
          <w:p>
            <w:r>
              <w:rPr>
                <w:sz w:val="19"/>
                <w:szCs w:val="19"/>
              </w:rPr>
              <w:t xml:space="preserve">El Salvador</w:t>
            </w:r>
          </w:p>
        </w:tc>
        <w:tc>
          <w:tcPr>
            <w:tcW w:type="dxa" w:w="4819"/>
            <w:tcMar>
              <w:top w:type="dxa" w:w="60"/>
              <w:left w:type="dxa" w:w="100"/>
              <w:bottom w:type="dxa" w:w="60"/>
              <w:right w:type="dxa" w:w="100"/>
            </w:tcMar>
          </w:tcPr>
          <w:p>
            <w:r>
              <w:rPr>
                <w:sz w:val="19"/>
                <w:szCs w:val="19"/>
              </w:rPr>
              <w:t xml:space="preserve">Defensoría del Consumidor</w:t>
            </w:r>
          </w:p>
        </w:tc>
      </w:tr>
      <w:tr>
        <w:trPr>
          <w:tblHeader w:val="off"/>
        </w:trPr>
        <w:tc>
          <w:tcPr>
            <w:tcW w:type="dxa" w:w="4819"/>
            <w:tcMar>
              <w:top w:type="dxa" w:w="60"/>
              <w:left w:type="dxa" w:w="100"/>
              <w:bottom w:type="dxa" w:w="60"/>
              <w:right w:type="dxa" w:w="100"/>
            </w:tcMar>
          </w:tcPr>
          <w:p>
            <w:r>
              <w:rPr>
                <w:sz w:val="19"/>
                <w:szCs w:val="19"/>
              </w:rPr>
              <w:t xml:space="preserve">Honduras</w:t>
            </w:r>
          </w:p>
        </w:tc>
        <w:tc>
          <w:tcPr>
            <w:tcW w:type="dxa" w:w="4819"/>
            <w:tcMar>
              <w:top w:type="dxa" w:w="60"/>
              <w:left w:type="dxa" w:w="100"/>
              <w:bottom w:type="dxa" w:w="60"/>
              <w:right w:type="dxa" w:w="100"/>
            </w:tcMar>
          </w:tcPr>
          <w:p>
            <w:r>
              <w:rPr>
                <w:sz w:val="19"/>
                <w:szCs w:val="19"/>
              </w:rPr>
              <w:t xml:space="preserve">Dirección General de Protección al Consumidor</w:t>
            </w:r>
          </w:p>
        </w:tc>
      </w:tr>
      <w:tr>
        <w:trPr>
          <w:tblHeader w:val="off"/>
        </w:trPr>
        <w:tc>
          <w:tcPr>
            <w:tcW w:type="dxa" w:w="4819"/>
            <w:tcMar>
              <w:top w:type="dxa" w:w="60"/>
              <w:left w:type="dxa" w:w="100"/>
              <w:bottom w:type="dxa" w:w="60"/>
              <w:right w:type="dxa" w:w="100"/>
            </w:tcMar>
          </w:tcPr>
          <w:p>
            <w:r>
              <w:rPr>
                <w:sz w:val="19"/>
                <w:szCs w:val="19"/>
              </w:rPr>
              <w:t xml:space="preserve">Nicarágua</w:t>
            </w:r>
          </w:p>
        </w:tc>
        <w:tc>
          <w:tcPr>
            <w:tcW w:type="dxa" w:w="4819"/>
            <w:tcMar>
              <w:top w:type="dxa" w:w="60"/>
              <w:left w:type="dxa" w:w="100"/>
              <w:bottom w:type="dxa" w:w="60"/>
              <w:right w:type="dxa" w:w="100"/>
            </w:tcMar>
          </w:tcPr>
          <w:p>
            <w:r>
              <w:rPr>
                <w:sz w:val="19"/>
                <w:szCs w:val="19"/>
              </w:rPr>
              <w:t xml:space="preserve">DIPRODEC</w:t>
            </w:r>
          </w:p>
        </w:tc>
      </w:tr>
      <w:tr>
        <w:trPr>
          <w:tblHeader w:val="off"/>
        </w:trPr>
        <w:tc>
          <w:tcPr>
            <w:tcW w:type="dxa" w:w="4819"/>
            <w:tcMar>
              <w:top w:type="dxa" w:w="60"/>
              <w:left w:type="dxa" w:w="100"/>
              <w:bottom w:type="dxa" w:w="60"/>
              <w:right w:type="dxa" w:w="100"/>
            </w:tcMar>
          </w:tcPr>
          <w:p>
            <w:r>
              <w:rPr>
                <w:sz w:val="19"/>
                <w:szCs w:val="19"/>
              </w:rPr>
              <w:t xml:space="preserve">Belize</w:t>
            </w:r>
          </w:p>
        </w:tc>
        <w:tc>
          <w:tcPr>
            <w:tcW w:type="dxa" w:w="4819"/>
            <w:tcMar>
              <w:top w:type="dxa" w:w="60"/>
              <w:left w:type="dxa" w:w="100"/>
              <w:bottom w:type="dxa" w:w="60"/>
              <w:right w:type="dxa" w:w="100"/>
            </w:tcMar>
          </w:tcPr>
          <w:p>
            <w:r>
              <w:rPr>
                <w:sz w:val="19"/>
                <w:szCs w:val="19"/>
              </w:rPr>
              <w:t xml:space="preserve">Belize Bureau of Standards (proteção ao consumidor); tribunais locais</w:t>
            </w:r>
          </w:p>
        </w:tc>
      </w:tr>
      <w:tr>
        <w:trPr>
          <w:tblHeader w:val="off"/>
        </w:trPr>
        <w:tc>
          <w:tcPr>
            <w:tcW w:type="dxa" w:w="4819"/>
            <w:tcMar>
              <w:top w:type="dxa" w:w="60"/>
              <w:left w:type="dxa" w:w="100"/>
              <w:bottom w:type="dxa" w:w="60"/>
              <w:right w:type="dxa" w:w="100"/>
            </w:tcMar>
          </w:tcPr>
          <w:p>
            <w:r>
              <w:rPr>
                <w:sz w:val="19"/>
                <w:szCs w:val="19"/>
              </w:rPr>
              <w:t xml:space="preserve">Estados Unidos</w:t>
            </w:r>
          </w:p>
        </w:tc>
        <w:tc>
          <w:tcPr>
            <w:tcW w:type="dxa" w:w="4819"/>
            <w:tcMar>
              <w:top w:type="dxa" w:w="60"/>
              <w:left w:type="dxa" w:w="100"/>
              <w:bottom w:type="dxa" w:w="60"/>
              <w:right w:type="dxa" w:w="100"/>
            </w:tcMar>
          </w:tcPr>
          <w:p>
            <w:r>
              <w:rPr>
                <w:sz w:val="19"/>
                <w:szCs w:val="19"/>
              </w:rPr>
              <w:t xml:space="preserve">FTC; procuradorias-gerais estaduais (</w:t>
            </w:r>
            <w:r>
              <w:rPr>
                <w:i/>
                <w:iCs/>
                <w:sz w:val="19"/>
                <w:szCs w:val="19"/>
              </w:rPr>
              <w:t xml:space="preserve">State Attorneys General</w:t>
            </w:r>
            <w:r>
              <w:rPr>
                <w:sz w:val="19"/>
                <w:szCs w:val="19"/>
              </w:rPr>
              <w:t xml:space="preserve">)</w:t>
            </w:r>
          </w:p>
        </w:tc>
      </w:tr>
      <w:tr>
        <w:trPr>
          <w:tblHeader w:val="off"/>
        </w:trPr>
        <w:tc>
          <w:tcPr>
            <w:tcW w:type="dxa" w:w="4819"/>
            <w:tcMar>
              <w:top w:type="dxa" w:w="60"/>
              <w:left w:type="dxa" w:w="100"/>
              <w:bottom w:type="dxa" w:w="60"/>
              <w:right w:type="dxa" w:w="100"/>
            </w:tcMar>
          </w:tcPr>
          <w:p>
            <w:r>
              <w:rPr>
                <w:sz w:val="19"/>
                <w:szCs w:val="19"/>
              </w:rPr>
              <w:t xml:space="preserve">Canadá</w:t>
            </w:r>
          </w:p>
        </w:tc>
        <w:tc>
          <w:tcPr>
            <w:tcW w:type="dxa" w:w="4819"/>
            <w:tcMar>
              <w:top w:type="dxa" w:w="60"/>
              <w:left w:type="dxa" w:w="100"/>
              <w:bottom w:type="dxa" w:w="60"/>
              <w:right w:type="dxa" w:w="100"/>
            </w:tcMar>
          </w:tcPr>
          <w:p>
            <w:r>
              <w:rPr>
                <w:sz w:val="19"/>
                <w:szCs w:val="19"/>
              </w:rPr>
              <w:t xml:space="preserve">Órgãos provinciais de proteção ao consumidor (ex.: Consumer Protection Ontario; Office de la protection du consommateur, Québec)</w:t>
            </w:r>
          </w:p>
        </w:tc>
      </w:tr>
      <w:tr>
        <w:trPr>
          <w:tblHeader w:val="off"/>
        </w:trPr>
        <w:tc>
          <w:tcPr>
            <w:tcW w:type="dxa" w:w="4819"/>
            <w:tcMar>
              <w:top w:type="dxa" w:w="60"/>
              <w:left w:type="dxa" w:w="100"/>
              <w:bottom w:type="dxa" w:w="60"/>
              <w:right w:type="dxa" w:w="100"/>
            </w:tcMar>
          </w:tcPr>
          <w:p>
            <w:r>
              <w:rPr>
                <w:sz w:val="19"/>
                <w:szCs w:val="19"/>
              </w:rPr>
              <w:t xml:space="preserve">União Europeia (PT, ES, IT, FR, DE)</w:t>
            </w:r>
          </w:p>
        </w:tc>
        <w:tc>
          <w:tcPr>
            <w:tcW w:type="dxa" w:w="4819"/>
            <w:tcMar>
              <w:top w:type="dxa" w:w="60"/>
              <w:left w:type="dxa" w:w="100"/>
              <w:bottom w:type="dxa" w:w="60"/>
              <w:right w:type="dxa" w:w="100"/>
            </w:tcMar>
          </w:tcPr>
          <w:p>
            <w:r>
              <w:rPr>
                <w:sz w:val="19"/>
                <w:szCs w:val="19"/>
              </w:rPr>
              <w:t xml:space="preserve">Entidades de resolução alternativa de litígios (RAL/ADR) nacionais; Centros Europeus do Consumidor</w:t>
            </w:r>
          </w:p>
        </w:tc>
      </w:tr>
      <w:tr>
        <w:trPr>
          <w:tblHeader w:val="off"/>
        </w:trPr>
        <w:tc>
          <w:tcPr>
            <w:tcW w:type="dxa" w:w="4819"/>
            <w:tcMar>
              <w:top w:type="dxa" w:w="60"/>
              <w:left w:type="dxa" w:w="100"/>
              <w:bottom w:type="dxa" w:w="60"/>
              <w:right w:type="dxa" w:w="100"/>
            </w:tcMar>
          </w:tcPr>
          <w:p>
            <w:r>
              <w:rPr>
                <w:sz w:val="19"/>
                <w:szCs w:val="19"/>
              </w:rPr>
              <w:t xml:space="preserve">Portugal</w:t>
            </w:r>
          </w:p>
        </w:tc>
        <w:tc>
          <w:tcPr>
            <w:tcW w:type="dxa" w:w="4819"/>
            <w:tcMar>
              <w:top w:type="dxa" w:w="60"/>
              <w:left w:type="dxa" w:w="100"/>
              <w:bottom w:type="dxa" w:w="60"/>
              <w:right w:type="dxa" w:w="100"/>
            </w:tcMar>
          </w:tcPr>
          <w:p>
            <w:r>
              <w:rPr>
                <w:b/>
                <w:bCs/>
                <w:sz w:val="19"/>
                <w:szCs w:val="19"/>
              </w:rPr>
              <w:t xml:space="preserve">Livro de Reclamações Eletrónico</w:t>
            </w:r>
            <w:r>
              <w:rPr>
                <w:sz w:val="19"/>
                <w:szCs w:val="19"/>
              </w:rPr>
              <w:t xml:space="preserve">; entidades RAL de consumo (Lei 144/2015); Direção-Geral do Consumidor</w:t>
            </w:r>
          </w:p>
        </w:tc>
      </w:tr>
      <w:tr>
        <w:trPr>
          <w:tblHeader w:val="off"/>
        </w:trPr>
        <w:tc>
          <w:tcPr>
            <w:tcW w:type="dxa" w:w="4819"/>
            <w:tcMar>
              <w:top w:type="dxa" w:w="60"/>
              <w:left w:type="dxa" w:w="100"/>
              <w:bottom w:type="dxa" w:w="60"/>
              <w:right w:type="dxa" w:w="100"/>
            </w:tcMar>
          </w:tcPr>
          <w:p>
            <w:r>
              <w:rPr>
                <w:sz w:val="19"/>
                <w:szCs w:val="19"/>
              </w:rPr>
              <w:t xml:space="preserve">Espanha</w:t>
            </w:r>
          </w:p>
        </w:tc>
        <w:tc>
          <w:tcPr>
            <w:tcW w:type="dxa" w:w="4819"/>
            <w:tcMar>
              <w:top w:type="dxa" w:w="60"/>
              <w:left w:type="dxa" w:w="100"/>
              <w:bottom w:type="dxa" w:w="60"/>
              <w:right w:type="dxa" w:w="100"/>
            </w:tcMar>
          </w:tcPr>
          <w:p>
            <w:r>
              <w:rPr>
                <w:sz w:val="19"/>
                <w:szCs w:val="19"/>
              </w:rPr>
              <w:t xml:space="preserve">Juntas Arbitrales de Consumo; órgãos de consumo das comunidades autônomas</w:t>
            </w:r>
          </w:p>
        </w:tc>
      </w:tr>
      <w:tr>
        <w:trPr>
          <w:tblHeader w:val="off"/>
        </w:trPr>
        <w:tc>
          <w:tcPr>
            <w:tcW w:type="dxa" w:w="4819"/>
            <w:tcMar>
              <w:top w:type="dxa" w:w="60"/>
              <w:left w:type="dxa" w:w="100"/>
              <w:bottom w:type="dxa" w:w="60"/>
              <w:right w:type="dxa" w:w="100"/>
            </w:tcMar>
          </w:tcPr>
          <w:p>
            <w:r>
              <w:rPr>
                <w:sz w:val="19"/>
                <w:szCs w:val="19"/>
              </w:rPr>
              <w:t xml:space="preserve">França</w:t>
            </w:r>
          </w:p>
        </w:tc>
        <w:tc>
          <w:tcPr>
            <w:tcW w:type="dxa" w:w="4819"/>
            <w:tcMar>
              <w:top w:type="dxa" w:w="60"/>
              <w:left w:type="dxa" w:w="100"/>
              <w:bottom w:type="dxa" w:w="60"/>
              <w:right w:type="dxa" w:w="100"/>
            </w:tcMar>
          </w:tcPr>
          <w:p>
            <w:r>
              <w:rPr>
                <w:b/>
                <w:bCs/>
                <w:sz w:val="19"/>
                <w:szCs w:val="19"/>
              </w:rPr>
              <w:t xml:space="preserve">Médiateur de la consommation</w:t>
            </w:r>
            <w:r>
              <w:rPr>
                <w:sz w:val="19"/>
                <w:szCs w:val="19"/>
              </w:rPr>
              <w:t xml:space="preserve"> indicado pela Operadora; SignalConso (DGCCRF)</w:t>
            </w:r>
          </w:p>
        </w:tc>
      </w:tr>
      <w:tr>
        <w:trPr>
          <w:tblHeader w:val="off"/>
        </w:trPr>
        <w:tc>
          <w:tcPr>
            <w:tcW w:type="dxa" w:w="4819"/>
            <w:tcMar>
              <w:top w:type="dxa" w:w="60"/>
              <w:left w:type="dxa" w:w="100"/>
              <w:bottom w:type="dxa" w:w="60"/>
              <w:right w:type="dxa" w:w="100"/>
            </w:tcMar>
          </w:tcPr>
          <w:p>
            <w:r>
              <w:rPr>
                <w:sz w:val="19"/>
                <w:szCs w:val="19"/>
              </w:rPr>
              <w:t xml:space="preserve">Alemanha</w:t>
            </w:r>
          </w:p>
        </w:tc>
        <w:tc>
          <w:tcPr>
            <w:tcW w:type="dxa" w:w="4819"/>
            <w:tcMar>
              <w:top w:type="dxa" w:w="60"/>
              <w:left w:type="dxa" w:w="100"/>
              <w:bottom w:type="dxa" w:w="60"/>
              <w:right w:type="dxa" w:w="100"/>
            </w:tcMar>
          </w:tcPr>
          <w:p>
            <w:r>
              <w:rPr>
                <w:sz w:val="19"/>
                <w:szCs w:val="19"/>
              </w:rPr>
              <w:t xml:space="preserve">Verbraucherschlichtungsstellen (VSBG), inclusive a Universalschlichtungsstelle des Bundes</w:t>
            </w:r>
          </w:p>
        </w:tc>
      </w:tr>
      <w:tr>
        <w:trPr>
          <w:tblHeader w:val="off"/>
        </w:trPr>
        <w:tc>
          <w:tcPr>
            <w:tcW w:type="dxa" w:w="4819"/>
            <w:tcMar>
              <w:top w:type="dxa" w:w="60"/>
              <w:left w:type="dxa" w:w="100"/>
              <w:bottom w:type="dxa" w:w="60"/>
              <w:right w:type="dxa" w:w="100"/>
            </w:tcMar>
          </w:tcPr>
          <w:p>
            <w:r>
              <w:rPr>
                <w:sz w:val="19"/>
                <w:szCs w:val="19"/>
              </w:rPr>
              <w:t xml:space="preserve">Itália</w:t>
            </w:r>
          </w:p>
        </w:tc>
        <w:tc>
          <w:tcPr>
            <w:tcW w:type="dxa" w:w="4819"/>
            <w:tcMar>
              <w:top w:type="dxa" w:w="60"/>
              <w:left w:type="dxa" w:w="100"/>
              <w:bottom w:type="dxa" w:w="60"/>
              <w:right w:type="dxa" w:w="100"/>
            </w:tcMar>
          </w:tcPr>
          <w:p>
            <w:r>
              <w:rPr>
                <w:sz w:val="19"/>
                <w:szCs w:val="19"/>
              </w:rPr>
              <w:t xml:space="preserve">Organismi ADR de consumo; Camere di Commercio</w:t>
            </w:r>
          </w:p>
        </w:tc>
      </w:tr>
      <w:tr>
        <w:trPr>
          <w:tblHeader w:val="off"/>
        </w:trPr>
        <w:tc>
          <w:tcPr>
            <w:tcW w:type="dxa" w:w="4819"/>
            <w:tcMar>
              <w:top w:type="dxa" w:w="60"/>
              <w:left w:type="dxa" w:w="100"/>
              <w:bottom w:type="dxa" w:w="60"/>
              <w:right w:type="dxa" w:w="100"/>
            </w:tcMar>
          </w:tcPr>
          <w:p>
            <w:r>
              <w:rPr>
                <w:sz w:val="19"/>
                <w:szCs w:val="19"/>
              </w:rPr>
              <w:t xml:space="preserve">Reino Unido</w:t>
            </w:r>
          </w:p>
        </w:tc>
        <w:tc>
          <w:tcPr>
            <w:tcW w:type="dxa" w:w="4819"/>
            <w:tcMar>
              <w:top w:type="dxa" w:w="60"/>
              <w:left w:type="dxa" w:w="100"/>
              <w:bottom w:type="dxa" w:w="60"/>
              <w:right w:type="dxa" w:w="100"/>
            </w:tcMar>
          </w:tcPr>
          <w:p>
            <w:r>
              <w:rPr>
                <w:sz w:val="19"/>
                <w:szCs w:val="19"/>
              </w:rPr>
              <w:t xml:space="preserve">Citizens Advice; entidades ADR aprovadas; CMA (Digital Markets, Competition and Consumers Act 2024)</w:t>
            </w:r>
          </w:p>
        </w:tc>
      </w:tr>
      <w:tr>
        <w:trPr>
          <w:tblHeader w:val="off"/>
        </w:trPr>
        <w:tc>
          <w:tcPr>
            <w:tcW w:type="dxa" w:w="4819"/>
            <w:tcMar>
              <w:top w:type="dxa" w:w="60"/>
              <w:left w:type="dxa" w:w="100"/>
              <w:bottom w:type="dxa" w:w="60"/>
              <w:right w:type="dxa" w:w="100"/>
            </w:tcMar>
          </w:tcPr>
          <w:p>
            <w:r>
              <w:rPr>
                <w:sz w:val="19"/>
                <w:szCs w:val="19"/>
              </w:rPr>
              <w:t xml:space="preserve">Emirados Árabes Unidos</w:t>
            </w:r>
          </w:p>
        </w:tc>
        <w:tc>
          <w:tcPr>
            <w:tcW w:type="dxa" w:w="4819"/>
            <w:tcMar>
              <w:top w:type="dxa" w:w="60"/>
              <w:left w:type="dxa" w:w="100"/>
              <w:bottom w:type="dxa" w:w="60"/>
              <w:right w:type="dxa" w:w="100"/>
            </w:tcMar>
          </w:tcPr>
          <w:p>
            <w:r>
              <w:rPr>
                <w:sz w:val="19"/>
                <w:szCs w:val="19"/>
              </w:rPr>
              <w:t xml:space="preserve">Ministry of Economy — Consumer Protection; Dubai Economy and Tourism (Consumer Rights) em Dubai</w:t>
            </w:r>
          </w:p>
        </w:tc>
      </w:tr>
      <w:tr>
        <w:trPr>
          <w:tblHeader w:val="off"/>
        </w:trPr>
        <w:tc>
          <w:tcPr>
            <w:tcW w:type="dxa" w:w="4819"/>
            <w:tcMar>
              <w:top w:type="dxa" w:w="60"/>
              <w:left w:type="dxa" w:w="100"/>
              <w:bottom w:type="dxa" w:w="60"/>
              <w:right w:type="dxa" w:w="100"/>
            </w:tcMar>
          </w:tcPr>
          <w:p>
            <w:r>
              <w:rPr>
                <w:sz w:val="19"/>
                <w:szCs w:val="19"/>
              </w:rPr>
              <w:t xml:space="preserve">Israel</w:t>
            </w:r>
          </w:p>
        </w:tc>
        <w:tc>
          <w:tcPr>
            <w:tcW w:type="dxa" w:w="4819"/>
            <w:tcMar>
              <w:top w:type="dxa" w:w="60"/>
              <w:left w:type="dxa" w:w="100"/>
              <w:bottom w:type="dxa" w:w="60"/>
              <w:right w:type="dxa" w:w="100"/>
            </w:tcMar>
          </w:tcPr>
          <w:p>
            <w:r>
              <w:rPr>
                <w:sz w:val="19"/>
                <w:szCs w:val="19"/>
              </w:rPr>
              <w:t xml:space="preserve">Consumer Protection and Fair Trade Authority; Juizados de pequenas causas</w:t>
            </w:r>
          </w:p>
        </w:tc>
      </w:tr>
      <w:tr>
        <w:trPr>
          <w:tblHeader w:val="off"/>
        </w:trPr>
        <w:tc>
          <w:tcPr>
            <w:tcW w:type="dxa" w:w="4819"/>
            <w:tcMar>
              <w:top w:type="dxa" w:w="60"/>
              <w:left w:type="dxa" w:w="100"/>
              <w:bottom w:type="dxa" w:w="60"/>
              <w:right w:type="dxa" w:w="100"/>
            </w:tcMar>
          </w:tcPr>
          <w:p>
            <w:r>
              <w:rPr>
                <w:sz w:val="19"/>
                <w:szCs w:val="19"/>
              </w:rPr>
              <w:t xml:space="preserve">China</w:t>
            </w:r>
          </w:p>
        </w:tc>
        <w:tc>
          <w:tcPr>
            <w:tcW w:type="dxa" w:w="4819"/>
            <w:tcMar>
              <w:top w:type="dxa" w:w="60"/>
              <w:left w:type="dxa" w:w="100"/>
              <w:bottom w:type="dxa" w:w="60"/>
              <w:right w:type="dxa" w:w="100"/>
            </w:tcMar>
          </w:tcPr>
          <w:p>
            <w:r>
              <w:rPr>
                <w:sz w:val="19"/>
                <w:szCs w:val="19"/>
              </w:rPr>
              <w:t xml:space="preserve">12315 (SAMR)</w:t>
            </w:r>
          </w:p>
        </w:tc>
      </w:tr>
      <w:tr>
        <w:trPr>
          <w:tblHeader w:val="off"/>
        </w:trPr>
        <w:tc>
          <w:tcPr>
            <w:tcW w:type="dxa" w:w="4819"/>
            <w:tcMar>
              <w:top w:type="dxa" w:w="60"/>
              <w:left w:type="dxa" w:w="100"/>
              <w:bottom w:type="dxa" w:w="60"/>
              <w:right w:type="dxa" w:w="100"/>
            </w:tcMar>
          </w:tcPr>
          <w:p>
            <w:r>
              <w:rPr>
                <w:sz w:val="19"/>
                <w:szCs w:val="19"/>
              </w:rPr>
              <w:t xml:space="preserve">Japão</w:t>
            </w:r>
          </w:p>
        </w:tc>
        <w:tc>
          <w:tcPr>
            <w:tcW w:type="dxa" w:w="4819"/>
            <w:tcMar>
              <w:top w:type="dxa" w:w="60"/>
              <w:left w:type="dxa" w:w="100"/>
              <w:bottom w:type="dxa" w:w="60"/>
              <w:right w:type="dxa" w:w="100"/>
            </w:tcMar>
          </w:tcPr>
          <w:p>
            <w:r>
              <w:rPr>
                <w:sz w:val="19"/>
                <w:szCs w:val="19"/>
              </w:rPr>
              <w:t xml:space="preserve">国民生活センター (National Consumer Affairs Center) / 消費生活センター (linha 188)</w:t>
            </w:r>
          </w:p>
        </w:tc>
      </w:tr>
      <w:tr>
        <w:trPr>
          <w:tblHeader w:val="off"/>
        </w:trPr>
        <w:tc>
          <w:tcPr>
            <w:tcW w:type="dxa" w:w="4819"/>
            <w:tcMar>
              <w:top w:type="dxa" w:w="60"/>
              <w:left w:type="dxa" w:w="100"/>
              <w:bottom w:type="dxa" w:w="60"/>
              <w:right w:type="dxa" w:w="100"/>
            </w:tcMar>
          </w:tcPr>
          <w:p>
            <w:r>
              <w:rPr>
                <w:sz w:val="19"/>
                <w:szCs w:val="19"/>
              </w:rPr>
              <w:t xml:space="preserve">Índia</w:t>
            </w:r>
          </w:p>
        </w:tc>
        <w:tc>
          <w:tcPr>
            <w:tcW w:type="dxa" w:w="4819"/>
            <w:tcMar>
              <w:top w:type="dxa" w:w="60"/>
              <w:left w:type="dxa" w:w="100"/>
              <w:bottom w:type="dxa" w:w="60"/>
              <w:right w:type="dxa" w:w="100"/>
            </w:tcMar>
          </w:tcPr>
          <w:p>
            <w:r>
              <w:rPr>
                <w:i/>
                <w:iCs/>
                <w:sz w:val="19"/>
                <w:szCs w:val="19"/>
              </w:rPr>
              <w:t xml:space="preserve">Grievance officer</w:t>
            </w:r>
            <w:r>
              <w:rPr>
                <w:sz w:val="19"/>
                <w:szCs w:val="19"/>
              </w:rPr>
              <w:t xml:space="preserve"> da Plataforma (confirmação em 48 horas, solução em até 1 mês); National Consumer Helpline (1915); Consumer Commissions (e-Daakhil)</w:t>
            </w:r>
          </w:p>
        </w:tc>
      </w:tr>
      <w:tr>
        <w:trPr>
          <w:tblHeader w:val="off"/>
        </w:trPr>
        <w:tc>
          <w:tcPr>
            <w:tcW w:type="dxa" w:w="4819"/>
            <w:tcMar>
              <w:top w:type="dxa" w:w="60"/>
              <w:left w:type="dxa" w:w="100"/>
              <w:bottom w:type="dxa" w:w="60"/>
              <w:right w:type="dxa" w:w="100"/>
            </w:tcMar>
          </w:tcPr>
          <w:p>
            <w:r>
              <w:rPr>
                <w:sz w:val="19"/>
                <w:szCs w:val="19"/>
              </w:rPr>
              <w:t xml:space="preserve">Austrália</w:t>
            </w:r>
          </w:p>
        </w:tc>
        <w:tc>
          <w:tcPr>
            <w:tcW w:type="dxa" w:w="4819"/>
            <w:tcMar>
              <w:top w:type="dxa" w:w="60"/>
              <w:left w:type="dxa" w:w="100"/>
              <w:bottom w:type="dxa" w:w="60"/>
              <w:right w:type="dxa" w:w="100"/>
            </w:tcMar>
          </w:tcPr>
          <w:p>
            <w:r>
              <w:rPr>
                <w:sz w:val="19"/>
                <w:szCs w:val="19"/>
              </w:rPr>
              <w:t xml:space="preserve">ACCC; órgãos estaduais de </w:t>
            </w:r>
            <w:r>
              <w:rPr>
                <w:i/>
                <w:iCs/>
                <w:sz w:val="19"/>
                <w:szCs w:val="19"/>
              </w:rPr>
              <w:t xml:space="preserve">Fair Trading</w:t>
            </w:r>
          </w:p>
        </w:tc>
      </w:tr>
    </w:tbl>
    <w:p/>
    <w:p>
      <w:pPr>
        <w:pStyle w:val="Heading2"/>
      </w:pPr>
      <w:r>
        <w:t xml:space="preserve">8. Resolução online de litígios (ODR)</w:t>
      </w:r>
    </w:p>
    <w:p>
      <w:pPr>
        <w:spacing w:after="120"/>
        <w:jc w:val="both"/>
      </w:pPr>
      <w:r>
        <w:t xml:space="preserve">8.1. Consumidores na União Europeia podem recorrer às entidades de resolução alternativa de litígios (RAL/ADR) notificadas em seu Estado-Membro. A plataforma europeia de resolução de litígios em linha (ODR) foi encerrada em 20/07/2025 (Regulamento (UE) 2024/3228), razão pela qual não há link para ela. No Brasil, a plataforma pública </w:t>
      </w:r>
      <w:r>
        <w:rPr>
          <w:b/>
          <w:bCs/>
        </w:rPr>
        <w:t xml:space="preserve">consumidor.gov.br</w:t>
      </w:r>
      <w:r>
        <w:t xml:space="preserve"> é o canal preferencial de solução online. A Operadora se compromete a participar de boa-fé desses procedimentos quando cadastrada ou quando a lei exigir, e informa, nos países em que isso é obrigatório (por exemplo, Alemanha, pelo VSBG, e França e Portugal), a entidade competente e sua disposição de participar.</w:t>
      </w:r>
    </w:p>
    <w:p>
      <w:pPr>
        <w:spacing w:after="120"/>
        <w:jc w:val="both"/>
      </w:pPr>
      <w:r>
        <w:t xml:space="preserve">8.2. Na Espanha, desde a Ley Orgánica 1/2025, as ações cíveis exigem, em regra, tentativa prévia de solução consensual, que pode ser feita pela Central de Resolução ou por outro meio admitido.</w:t>
      </w:r>
    </w:p>
    <w:p>
      <w:pPr>
        <w:pStyle w:val="Heading2"/>
      </w:pPr>
      <w:r>
        <w:t xml:space="preserve">9. Arbitragem e mediação externa</w:t>
      </w:r>
    </w:p>
    <w:p>
      <w:pPr>
        <w:spacing w:after="120"/>
        <w:jc w:val="both"/>
      </w:pPr>
      <w:r>
        <w:t xml:space="preserve">9.1. Fora das relações de consumo, as partes podem, de comum acordo e por instrumento específico, submeter a disputa a mediação ou arbitragem, perante câmara escolhida, quando permitido pela lei aplicável.</w:t>
      </w:r>
    </w:p>
    <w:p>
      <w:pPr>
        <w:spacing w:after="120"/>
        <w:jc w:val="both"/>
      </w:pPr>
      <w:r>
        <w:t xml:space="preserve">9.2. </w:t>
      </w:r>
      <w:r>
        <w:rPr>
          <w:b/>
          <w:bCs/>
        </w:rPr>
        <w:t xml:space="preserve">A arbitragem nunca é imposta ao consumidor.</w:t>
      </w:r>
      <w:r>
        <w:t xml:space="preserve"> No Brasil, cláusula compromissória em contrato de adesão só é eficaz se o aderente tomar a iniciativa de instituir a arbitragem ou concordar expressamente com ela, em documento anexo ou em negrito, com assinatura ou visto especial (Lei 9.307/1996, art. 4º, § 2º), e é nula a que determine a utilização compulsória de arbitragem em relações de consumo (CDC, art. 51, VII).</w:t>
      </w:r>
    </w:p>
    <w:p>
      <w:pPr>
        <w:pStyle w:val="Heading2"/>
      </w:pPr>
      <w:r>
        <w:t xml:space="preserve">10. Poder Judiciário</w:t>
      </w:r>
    </w:p>
    <w:p>
      <w:pPr>
        <w:spacing w:after="120"/>
        <w:jc w:val="both"/>
      </w:pPr>
      <w:r>
        <w:t xml:space="preserve">10.1. Nada neste documento impede o acesso ao Poder Judiciário. O Usuário consumidor pode propor ação no foro de seu domicílio, conforme os Termos de Uso.</w:t>
      </w:r>
    </w:p>
    <w:p>
      <w:pPr>
        <w:pStyle w:val="Heading2"/>
      </w:pPr>
      <w:r>
        <w:t xml:space="preserve">11. Contato</w:t>
      </w:r>
    </w:p>
    <w:p>
      <w:pPr>
        <w:spacing w:after="120"/>
        <w:jc w:val="both"/>
      </w:pPr>
      <w:r>
        <w:t xml:space="preserve">11.1. Central de Resolução: pela página da Reserva na Plataforma ou pelo e-mail </w:t>
      </w:r>
      <w:r>
        <w:rPr>
          <w:b/>
          <w:bCs/>
        </w:rPr>
        <w:t xml:space="preserve">support@space-hour.com</w:t>
      </w:r>
      <w:r>
        <w:t xml:space="preserve">. 11.2. </w:t>
      </w:r>
      <w:r>
        <w:rPr>
          <w:b/>
          <w:bCs/>
        </w:rPr>
        <w:t xml:space="preserve">Instituto Ravel de Ensino Superior Ltda.</w:t>
      </w:r>
      <w:r>
        <w:t xml:space="preserve"> — CNPJ </w:t>
      </w:r>
      <w:r>
        <w:rPr>
          <w:b/>
          <w:bCs/>
        </w:rPr>
        <w:t xml:space="preserve">03.162.275/0001-10</w:t>
      </w:r>
      <w:r>
        <w:t xml:space="preserve"> — </w:t>
      </w:r>
      <w:r>
        <w:rPr>
          <w:b/>
          <w:bCs/>
        </w:rPr>
        <w:t xml:space="preserve">Av. XV de Novembro, 255, Maringá/PR, CEP 87013-230, Brasil</w:t>
      </w:r>
      <w:r>
        <w:t xml:space="preserve">.</w:t>
      </w:r>
    </w:p>
    <w:p>
      <w:r>
        <w:br w:type="page"/>
      </w:r>
    </w:p>
    <w:p>
      <w:pPr>
        <w:pStyle w:val="Heading1"/>
      </w:pPr>
      <w:r>
        <w:t xml:space="preserve">Política de Privacidade</w:t>
      </w:r>
    </w:p>
    <w:p>
      <w:pPr>
        <w:spacing w:after="120"/>
        <w:jc w:val="both"/>
      </w:pPr>
      <w:r>
        <w:t xml:space="preserve">Versão 2026-09-27 · Vigência a partir de 27/09/2026</w:t>
      </w:r>
    </w:p>
    <w:p>
      <w:pPr>
        <w:pStyle w:val="Heading2"/>
      </w:pPr>
      <w:r>
        <w:t xml:space="preserve">1. Quem somos e a quem se aplica</w:t>
      </w:r>
    </w:p>
    <w:p>
      <w:pPr>
        <w:spacing w:after="120"/>
        <w:jc w:val="both"/>
      </w:pPr>
      <w:r>
        <w:t xml:space="preserve">1.1. Esta Política explica como </w:t>
      </w:r>
      <w:r>
        <w:rPr>
          <w:b/>
          <w:bCs/>
        </w:rPr>
        <w:t xml:space="preserve">Instituto Ravel de Ensino Superior Ltda.</w:t>
      </w:r>
      <w:r>
        <w:t xml:space="preserve">, CNPJ </w:t>
      </w:r>
      <w:r>
        <w:rPr>
          <w:b/>
          <w:bCs/>
        </w:rPr>
        <w:t xml:space="preserve">03.162.275/0001-10</w:t>
      </w:r>
      <w:r>
        <w:t xml:space="preserve">, com sede em </w:t>
      </w:r>
      <w:r>
        <w:rPr>
          <w:b/>
          <w:bCs/>
        </w:rPr>
        <w:t xml:space="preserve">Av. XV de Novembro, 255, Maringá/PR, CEP 87013-230, Brasil</w:t>
      </w:r>
      <w:r>
        <w:t xml:space="preserve"> (a "Operadora"), trata dados pessoais na Plataforma SpaceHour, na qualidade de </w:t>
      </w:r>
      <w:r>
        <w:rPr>
          <w:b/>
          <w:bCs/>
        </w:rPr>
        <w:t xml:space="preserve">controladora</w:t>
      </w:r>
      <w:r>
        <w:t xml:space="preserve">.</w:t>
      </w:r>
    </w:p>
    <w:p>
      <w:pPr>
        <w:spacing w:after="120"/>
        <w:jc w:val="both"/>
      </w:pPr>
      <w:r>
        <w:t xml:space="preserve">1.2. Aplica-se a Anfitriões, Locatários, Avalistas, Clientes Finais que utilizem a ferramenta de avaliação, visitantes do site e representantes de pessoas jurídicas.</w:t>
      </w:r>
    </w:p>
    <w:p>
      <w:pPr>
        <w:spacing w:after="120"/>
        <w:jc w:val="both"/>
      </w:pPr>
      <w:r>
        <w:t xml:space="preserve">1.3. </w:t>
      </w:r>
      <w:r>
        <w:rPr>
          <w:b/>
          <w:bCs/>
        </w:rPr>
        <w:t xml:space="preserve">Encarregado / DPO:</w:t>
      </w:r>
      <w:r>
        <w:t xml:space="preserve"> </w:t>
      </w:r>
      <w:r>
        <w:rPr>
          <w:b/>
          <w:bCs/>
        </w:rPr>
        <w:t xml:space="preserve">Robson Ravel de Oliveira — info@wmundi.com</w:t>
      </w:r>
      <w:r>
        <w:t xml:space="preserve">. Atendimento geral: support@space-hour.com. Quando exigido pela lei local, a Operadora nomeará e divulgará: representante na União Europeia (art. 27 do RGPD) e no Reino Unido (art. 27 do UK GDPR); representante ou entidade na China (art. 53 da PIPL); </w:t>
      </w:r>
      <w:r>
        <w:rPr>
          <w:i/>
          <w:iCs/>
        </w:rPr>
        <w:t xml:space="preserve">grievance officer</w:t>
      </w:r>
      <w:r>
        <w:t xml:space="preserve"> residente na Índia; responsável pela proteção de dados pessoais no Québec (Law 25); e os encarregados ou oficiais de dados exigidos em outros países (por exemplo, Peru, Uruguai e Equador).</w:t>
      </w:r>
    </w:p>
    <w:p>
      <w:pPr>
        <w:spacing w:after="120"/>
        <w:jc w:val="both"/>
      </w:pPr>
      <w:r>
        <w:t xml:space="preserve">1.4. </w:t>
      </w:r>
      <w:r>
        <w:rPr>
          <w:b/>
          <w:bCs/>
        </w:rPr>
        <w:t xml:space="preserve">Papéis.</w:t>
      </w:r>
      <w:r>
        <w:t xml:space="preserve"> Em relação aos dados de seus próprios pacientes, clientes e alunos, o </w:t>
      </w:r>
      <w:r>
        <w:rPr>
          <w:b/>
          <w:bCs/>
        </w:rPr>
        <w:t xml:space="preserve">Locatário</w:t>
      </w:r>
      <w:r>
        <w:t xml:space="preserve"> e o </w:t>
      </w:r>
      <w:r>
        <w:rPr>
          <w:b/>
          <w:bCs/>
        </w:rPr>
        <w:t xml:space="preserve">Anfitrião</w:t>
      </w:r>
      <w:r>
        <w:t xml:space="preserve"> são controladores independentes, responsáveis pelo tratamento que realizam em sua atividade profissional. A Plataforma não recebe prontuários nem dados clínicos e não deve ser usada para isso.</w:t>
      </w:r>
    </w:p>
    <w:p>
      <w:pPr>
        <w:spacing w:after="120"/>
        <w:jc w:val="both"/>
      </w:pPr>
      <w:r>
        <w:t xml:space="preserve">1.5. </w:t>
      </w:r>
      <w:r>
        <w:rPr>
          <w:b/>
          <w:bCs/>
        </w:rPr>
        <w:t xml:space="preserve">Domínios.</w:t>
      </w:r>
      <w:r>
        <w:t xml:space="preserve"> Esta Política aplica-se aos domínios space-hour.com e spacehour.com.br e aos aplicativos SpaceHour.</w:t>
      </w:r>
    </w:p>
    <w:p>
      <w:pPr>
        <w:pStyle w:val="Heading2"/>
      </w:pPr>
      <w:r>
        <w:t xml:space="preserve">2. Dados que coletamos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shd w:fill="E6F2F1" w:color="auto" w:val="clear"/>
            <w:tcMar>
              <w:top w:type="dxa" w:w="60"/>
              <w:left w:type="dxa" w:w="100"/>
              <w:bottom w:type="dxa" w:w="60"/>
              <w:right w:type="dxa" w:w="100"/>
            </w:tcMar>
          </w:tcPr>
          <w:p>
            <w:r>
              <w:rPr>
                <w:b/>
                <w:bCs/>
                <w:sz w:val="19"/>
                <w:szCs w:val="19"/>
              </w:rPr>
              <w:t xml:space="preserve">Categoria</w:t>
            </w:r>
          </w:p>
        </w:tc>
        <w:tc>
          <w:tcPr>
            <w:tcW w:type="dxa" w:w="3212"/>
            <w:shd w:fill="E6F2F1" w:color="auto" w:val="clear"/>
            <w:tcMar>
              <w:top w:type="dxa" w:w="60"/>
              <w:left w:type="dxa" w:w="100"/>
              <w:bottom w:type="dxa" w:w="60"/>
              <w:right w:type="dxa" w:w="100"/>
            </w:tcMar>
          </w:tcPr>
          <w:p>
            <w:r>
              <w:rPr>
                <w:b/>
                <w:bCs/>
                <w:sz w:val="19"/>
                <w:szCs w:val="19"/>
              </w:rPr>
              <w:t xml:space="preserve">Exemplos</w:t>
            </w:r>
          </w:p>
        </w:tc>
        <w:tc>
          <w:tcPr>
            <w:tcW w:type="dxa" w:w="3214"/>
            <w:shd w:fill="E6F2F1" w:color="auto" w:val="clear"/>
            <w:tcMar>
              <w:top w:type="dxa" w:w="60"/>
              <w:left w:type="dxa" w:w="100"/>
              <w:bottom w:type="dxa" w:w="60"/>
              <w:right w:type="dxa" w:w="100"/>
            </w:tcMar>
          </w:tcPr>
          <w:p>
            <w:r>
              <w:rPr>
                <w:b/>
                <w:bCs/>
                <w:sz w:val="19"/>
                <w:szCs w:val="19"/>
              </w:rPr>
              <w:t xml:space="preserve">Origem</w:t>
            </w:r>
          </w:p>
        </w:tc>
      </w:tr>
      <w:tr>
        <w:trPr>
          <w:tblHeader w:val="off"/>
        </w:trPr>
        <w:tc>
          <w:tcPr>
            <w:tcW w:type="dxa" w:w="3212"/>
            <w:tcMar>
              <w:top w:type="dxa" w:w="60"/>
              <w:left w:type="dxa" w:w="100"/>
              <w:bottom w:type="dxa" w:w="60"/>
              <w:right w:type="dxa" w:w="100"/>
            </w:tcMar>
          </w:tcPr>
          <w:p>
            <w:r>
              <w:rPr>
                <w:sz w:val="19"/>
                <w:szCs w:val="19"/>
              </w:rPr>
              <w:t xml:space="preserve">Cadastro</w:t>
            </w:r>
          </w:p>
        </w:tc>
        <w:tc>
          <w:tcPr>
            <w:tcW w:type="dxa" w:w="3212"/>
            <w:tcMar>
              <w:top w:type="dxa" w:w="60"/>
              <w:left w:type="dxa" w:w="100"/>
              <w:bottom w:type="dxa" w:w="60"/>
              <w:right w:type="dxa" w:w="100"/>
            </w:tcMar>
          </w:tcPr>
          <w:p>
            <w:r>
              <w:rPr>
                <w:sz w:val="19"/>
                <w:szCs w:val="19"/>
              </w:rPr>
              <w:t xml:space="preserve">Nome, e-mail, telefone, país, idioma, senha (armazenada apenas como </w:t>
            </w:r>
            <w:r>
              <w:rPr>
                <w:i/>
                <w:iCs/>
                <w:sz w:val="19"/>
                <w:szCs w:val="19"/>
              </w:rPr>
              <w:t xml:space="preserve">hash</w:t>
            </w:r>
            <w:r>
              <w:rPr>
                <w:sz w:val="19"/>
                <w:szCs w:val="19"/>
              </w:rPr>
              <w:t xml:space="preserve">)</w:t>
            </w:r>
          </w:p>
        </w:tc>
        <w:tc>
          <w:tcPr>
            <w:tcW w:type="dxa" w:w="3214"/>
            <w:tcMar>
              <w:top w:type="dxa" w:w="60"/>
              <w:left w:type="dxa" w:w="100"/>
              <w:bottom w:type="dxa" w:w="60"/>
              <w:right w:type="dxa" w:w="100"/>
            </w:tcMar>
          </w:tcPr>
          <w:p>
            <w:r>
              <w:rPr>
                <w:sz w:val="19"/>
                <w:szCs w:val="19"/>
              </w:rPr>
              <w:t xml:space="preserve">Titular</w:t>
            </w:r>
          </w:p>
        </w:tc>
      </w:tr>
      <w:tr>
        <w:trPr>
          <w:tblHeader w:val="off"/>
        </w:trPr>
        <w:tc>
          <w:tcPr>
            <w:tcW w:type="dxa" w:w="3212"/>
            <w:tcMar>
              <w:top w:type="dxa" w:w="60"/>
              <w:left w:type="dxa" w:w="100"/>
              <w:bottom w:type="dxa" w:w="60"/>
              <w:right w:type="dxa" w:w="100"/>
            </w:tcMar>
          </w:tcPr>
          <w:p>
            <w:r>
              <w:rPr>
                <w:sz w:val="19"/>
                <w:szCs w:val="19"/>
              </w:rPr>
              <w:t xml:space="preserve">Identificação</w:t>
            </w:r>
          </w:p>
        </w:tc>
        <w:tc>
          <w:tcPr>
            <w:tcW w:type="dxa" w:w="3212"/>
            <w:tcMar>
              <w:top w:type="dxa" w:w="60"/>
              <w:left w:type="dxa" w:w="100"/>
              <w:bottom w:type="dxa" w:w="60"/>
              <w:right w:type="dxa" w:w="100"/>
            </w:tcMar>
          </w:tcPr>
          <w:p>
            <w:r>
              <w:rPr>
                <w:sz w:val="19"/>
                <w:szCs w:val="19"/>
              </w:rPr>
              <w:t xml:space="preserve">Tipo e número de documento (ex.: CPF, DNI, CURP/INE, Passport), identificação fiscal de empresa (ex.: CNPJ, RUC, EIN, NIF), foto do documento de identidade, selfie, resultado de verificação de identidade, situação cadastral e quadro de sócios do CNPJ</w:t>
            </w:r>
          </w:p>
        </w:tc>
        <w:tc>
          <w:tcPr>
            <w:tcW w:type="dxa" w:w="3214"/>
            <w:tcMar>
              <w:top w:type="dxa" w:w="60"/>
              <w:left w:type="dxa" w:w="100"/>
              <w:bottom w:type="dxa" w:w="60"/>
              <w:right w:type="dxa" w:w="100"/>
            </w:tcMar>
          </w:tcPr>
          <w:p>
            <w:r>
              <w:rPr>
                <w:sz w:val="19"/>
                <w:szCs w:val="19"/>
              </w:rPr>
              <w:t xml:space="preserve">Titular, base pública do CNPJ (Receita Federal, via BrasilAPI) e prestadores de verificação</w:t>
            </w:r>
          </w:p>
        </w:tc>
      </w:tr>
      <w:tr>
        <w:trPr>
          <w:tblHeader w:val="off"/>
        </w:trPr>
        <w:tc>
          <w:tcPr>
            <w:tcW w:type="dxa" w:w="3212"/>
            <w:tcMar>
              <w:top w:type="dxa" w:w="60"/>
              <w:left w:type="dxa" w:w="100"/>
              <w:bottom w:type="dxa" w:w="60"/>
              <w:right w:type="dxa" w:w="100"/>
            </w:tcMar>
          </w:tcPr>
          <w:p>
            <w:r>
              <w:rPr>
                <w:sz w:val="19"/>
                <w:szCs w:val="19"/>
              </w:rPr>
              <w:t xml:space="preserve">Profissionais</w:t>
            </w:r>
          </w:p>
        </w:tc>
        <w:tc>
          <w:tcPr>
            <w:tcW w:type="dxa" w:w="3212"/>
            <w:tcMar>
              <w:top w:type="dxa" w:w="60"/>
              <w:left w:type="dxa" w:w="100"/>
              <w:bottom w:type="dxa" w:w="60"/>
              <w:right w:type="dxa" w:w="100"/>
            </w:tcMar>
          </w:tcPr>
          <w:p>
            <w:r>
              <w:rPr>
                <w:sz w:val="19"/>
                <w:szCs w:val="19"/>
              </w:rPr>
              <w:t xml:space="preserve">Órgão de registro, número e região do registro profissional, imagem do documento profissional, documentos adicionais solicitados, resultado e histórico da pré-triagem automatizada, confirmações feitas pelo Anfitrião</w:t>
            </w:r>
          </w:p>
        </w:tc>
        <w:tc>
          <w:tcPr>
            <w:tcW w:type="dxa" w:w="3214"/>
            <w:tcMar>
              <w:top w:type="dxa" w:w="60"/>
              <w:left w:type="dxa" w:w="100"/>
              <w:bottom w:type="dxa" w:w="60"/>
              <w:right w:type="dxa" w:w="100"/>
            </w:tcMar>
          </w:tcPr>
          <w:p>
            <w:r>
              <w:rPr>
                <w:sz w:val="19"/>
                <w:szCs w:val="19"/>
              </w:rPr>
              <w:t xml:space="preserve">Titular, bases públicas dos conselhos, Anfitrião e Plataforma</w:t>
            </w:r>
          </w:p>
        </w:tc>
      </w:tr>
      <w:tr>
        <w:trPr>
          <w:tblHeader w:val="off"/>
        </w:trPr>
        <w:tc>
          <w:tcPr>
            <w:tcW w:type="dxa" w:w="3212"/>
            <w:tcMar>
              <w:top w:type="dxa" w:w="60"/>
              <w:left w:type="dxa" w:w="100"/>
              <w:bottom w:type="dxa" w:w="60"/>
              <w:right w:type="dxa" w:w="100"/>
            </w:tcMar>
          </w:tcPr>
          <w:p>
            <w:r>
              <w:rPr>
                <w:sz w:val="19"/>
                <w:szCs w:val="19"/>
              </w:rPr>
              <w:t xml:space="preserve">Anúncios</w:t>
            </w:r>
          </w:p>
        </w:tc>
        <w:tc>
          <w:tcPr>
            <w:tcW w:type="dxa" w:w="3212"/>
            <w:tcMar>
              <w:top w:type="dxa" w:w="60"/>
              <w:left w:type="dxa" w:w="100"/>
              <w:bottom w:type="dxa" w:w="60"/>
              <w:right w:type="dxa" w:w="100"/>
            </w:tcMar>
          </w:tcPr>
          <w:p>
            <w:r>
              <w:rPr>
                <w:sz w:val="19"/>
                <w:szCs w:val="19"/>
              </w:rPr>
              <w:t xml:space="preserve">Endereço do Espaço, fotos enviadas pelo Anfitrião, descrição, equipamentos, preços, calendário</w:t>
            </w:r>
          </w:p>
        </w:tc>
        <w:tc>
          <w:tcPr>
            <w:tcW w:type="dxa" w:w="3214"/>
            <w:tcMar>
              <w:top w:type="dxa" w:w="60"/>
              <w:left w:type="dxa" w:w="100"/>
              <w:bottom w:type="dxa" w:w="60"/>
              <w:right w:type="dxa" w:w="100"/>
            </w:tcMar>
          </w:tcPr>
          <w:p>
            <w:r>
              <w:rPr>
                <w:sz w:val="19"/>
                <w:szCs w:val="19"/>
              </w:rPr>
              <w:t xml:space="preserve">Anfitrião</w:t>
            </w:r>
          </w:p>
        </w:tc>
      </w:tr>
      <w:tr>
        <w:trPr>
          <w:tblHeader w:val="off"/>
        </w:trPr>
        <w:tc>
          <w:tcPr>
            <w:tcW w:type="dxa" w:w="3212"/>
            <w:tcMar>
              <w:top w:type="dxa" w:w="60"/>
              <w:left w:type="dxa" w:w="100"/>
              <w:bottom w:type="dxa" w:w="60"/>
              <w:right w:type="dxa" w:w="100"/>
            </w:tcMar>
          </w:tcPr>
          <w:p>
            <w:r>
              <w:rPr>
                <w:sz w:val="19"/>
                <w:szCs w:val="19"/>
              </w:rPr>
              <w:t xml:space="preserve">Reservas</w:t>
            </w:r>
          </w:p>
        </w:tc>
        <w:tc>
          <w:tcPr>
            <w:tcW w:type="dxa" w:w="3212"/>
            <w:tcMar>
              <w:top w:type="dxa" w:w="60"/>
              <w:left w:type="dxa" w:w="100"/>
              <w:bottom w:type="dxa" w:w="60"/>
              <w:right w:type="dxa" w:w="100"/>
            </w:tcMar>
          </w:tcPr>
          <w:p>
            <w:r>
              <w:rPr>
                <w:sz w:val="19"/>
                <w:szCs w:val="19"/>
              </w:rPr>
              <w:t xml:space="preserve">Datas, horários, atividade declarada, número de pessoas, mensagens, check-in/check-out, fotos, histórico de cancelamentos</w:t>
            </w:r>
          </w:p>
        </w:tc>
        <w:tc>
          <w:tcPr>
            <w:tcW w:type="dxa" w:w="3214"/>
            <w:tcMar>
              <w:top w:type="dxa" w:w="60"/>
              <w:left w:type="dxa" w:w="100"/>
              <w:bottom w:type="dxa" w:w="60"/>
              <w:right w:type="dxa" w:w="100"/>
            </w:tcMar>
          </w:tcPr>
          <w:p>
            <w:r>
              <w:rPr>
                <w:sz w:val="19"/>
                <w:szCs w:val="19"/>
              </w:rPr>
              <w:t xml:space="preserve">Usuários e Plataforma</w:t>
            </w:r>
          </w:p>
        </w:tc>
      </w:tr>
      <w:tr>
        <w:trPr>
          <w:tblHeader w:val="off"/>
        </w:trPr>
        <w:tc>
          <w:tcPr>
            <w:tcW w:type="dxa" w:w="3212"/>
            <w:tcMar>
              <w:top w:type="dxa" w:w="60"/>
              <w:left w:type="dxa" w:w="100"/>
              <w:bottom w:type="dxa" w:w="60"/>
              <w:right w:type="dxa" w:w="100"/>
            </w:tcMar>
          </w:tcPr>
          <w:p>
            <w:r>
              <w:rPr>
                <w:sz w:val="19"/>
                <w:szCs w:val="19"/>
              </w:rPr>
              <w:t xml:space="preserve">Pagamentos</w:t>
            </w:r>
          </w:p>
        </w:tc>
        <w:tc>
          <w:tcPr>
            <w:tcW w:type="dxa" w:w="3212"/>
            <w:tcMar>
              <w:top w:type="dxa" w:w="60"/>
              <w:left w:type="dxa" w:w="100"/>
              <w:bottom w:type="dxa" w:w="60"/>
              <w:right w:type="dxa" w:w="100"/>
            </w:tcMar>
          </w:tcPr>
          <w:p>
            <w:r>
              <w:rPr>
                <w:sz w:val="19"/>
                <w:szCs w:val="19"/>
              </w:rPr>
              <w:t xml:space="preserve">Token do meio de pagamento, bandeira, últimos dígitos e validade do cartão, status de autorização e Caução, dados bancários para repasse e reembolso, dados fiscais (os dados completos de cartão são coletados diretamente pelo Mercado Pago ou pela Stripe e não são recebidos pela Plataforma)</w:t>
            </w:r>
          </w:p>
        </w:tc>
        <w:tc>
          <w:tcPr>
            <w:tcW w:type="dxa" w:w="3214"/>
            <w:tcMar>
              <w:top w:type="dxa" w:w="60"/>
              <w:left w:type="dxa" w:w="100"/>
              <w:bottom w:type="dxa" w:w="60"/>
              <w:right w:type="dxa" w:w="100"/>
            </w:tcMar>
          </w:tcPr>
          <w:p>
            <w:r>
              <w:rPr>
                <w:sz w:val="19"/>
                <w:szCs w:val="19"/>
              </w:rPr>
              <w:t xml:space="preserve">Titular e processadores de pagamento</w:t>
            </w:r>
          </w:p>
        </w:tc>
      </w:tr>
      <w:tr>
        <w:trPr>
          <w:tblHeader w:val="off"/>
        </w:trPr>
        <w:tc>
          <w:tcPr>
            <w:tcW w:type="dxa" w:w="3212"/>
            <w:tcMar>
              <w:top w:type="dxa" w:w="60"/>
              <w:left w:type="dxa" w:w="100"/>
              <w:bottom w:type="dxa" w:w="60"/>
              <w:right w:type="dxa" w:w="100"/>
            </w:tcMar>
          </w:tcPr>
          <w:p>
            <w:r>
              <w:rPr>
                <w:sz w:val="19"/>
                <w:szCs w:val="19"/>
              </w:rPr>
              <w:t xml:space="preserve">Avalista</w:t>
            </w:r>
          </w:p>
        </w:tc>
        <w:tc>
          <w:tcPr>
            <w:tcW w:type="dxa" w:w="3212"/>
            <w:tcMar>
              <w:top w:type="dxa" w:w="60"/>
              <w:left w:type="dxa" w:w="100"/>
              <w:bottom w:type="dxa" w:w="60"/>
              <w:right w:type="dxa" w:w="100"/>
            </w:tcMar>
          </w:tcPr>
          <w:p>
            <w:r>
              <w:rPr>
                <w:sz w:val="19"/>
                <w:szCs w:val="19"/>
              </w:rPr>
              <w:t xml:space="preserve">Nome, e-mail, telefone, documento, relação com o Locatário, aceite, limite de responsabilidade</w:t>
            </w:r>
          </w:p>
        </w:tc>
        <w:tc>
          <w:tcPr>
            <w:tcW w:type="dxa" w:w="3214"/>
            <w:tcMar>
              <w:top w:type="dxa" w:w="60"/>
              <w:left w:type="dxa" w:w="100"/>
              <w:bottom w:type="dxa" w:w="60"/>
              <w:right w:type="dxa" w:w="100"/>
            </w:tcMar>
          </w:tcPr>
          <w:p>
            <w:r>
              <w:rPr>
                <w:sz w:val="19"/>
                <w:szCs w:val="19"/>
              </w:rPr>
              <w:t xml:space="preserve">Locatário e Avalista</w:t>
            </w:r>
          </w:p>
        </w:tc>
      </w:tr>
      <w:tr>
        <w:trPr>
          <w:tblHeader w:val="off"/>
        </w:trPr>
        <w:tc>
          <w:tcPr>
            <w:tcW w:type="dxa" w:w="3212"/>
            <w:tcMar>
              <w:top w:type="dxa" w:w="60"/>
              <w:left w:type="dxa" w:w="100"/>
              <w:bottom w:type="dxa" w:w="60"/>
              <w:right w:type="dxa" w:w="100"/>
            </w:tcMar>
          </w:tcPr>
          <w:p>
            <w:r>
              <w:rPr>
                <w:sz w:val="19"/>
                <w:szCs w:val="19"/>
              </w:rPr>
              <w:t xml:space="preserve">Reputação e conformidade</w:t>
            </w:r>
          </w:p>
        </w:tc>
        <w:tc>
          <w:tcPr>
            <w:tcW w:type="dxa" w:w="3212"/>
            <w:tcMar>
              <w:top w:type="dxa" w:w="60"/>
              <w:left w:type="dxa" w:w="100"/>
              <w:bottom w:type="dxa" w:w="60"/>
              <w:right w:type="dxa" w:w="100"/>
            </w:tcMar>
          </w:tcPr>
          <w:p>
            <w:r>
              <w:rPr>
                <w:sz w:val="19"/>
                <w:szCs w:val="19"/>
              </w:rPr>
              <w:t xml:space="preserve">Avaliações, Incidentes, evidências, Advertências, suspensões</w:t>
            </w:r>
          </w:p>
        </w:tc>
        <w:tc>
          <w:tcPr>
            <w:tcW w:type="dxa" w:w="3214"/>
            <w:tcMar>
              <w:top w:type="dxa" w:w="60"/>
              <w:left w:type="dxa" w:w="100"/>
              <w:bottom w:type="dxa" w:w="60"/>
              <w:right w:type="dxa" w:w="100"/>
            </w:tcMar>
          </w:tcPr>
          <w:p>
            <w:r>
              <w:rPr>
                <w:sz w:val="19"/>
                <w:szCs w:val="19"/>
              </w:rPr>
              <w:t xml:space="preserve">Usuários e Plataforma</w:t>
            </w:r>
          </w:p>
        </w:tc>
      </w:tr>
      <w:tr>
        <w:trPr>
          <w:tblHeader w:val="off"/>
        </w:trPr>
        <w:tc>
          <w:tcPr>
            <w:tcW w:type="dxa" w:w="3212"/>
            <w:tcMar>
              <w:top w:type="dxa" w:w="60"/>
              <w:left w:type="dxa" w:w="100"/>
              <w:bottom w:type="dxa" w:w="60"/>
              <w:right w:type="dxa" w:w="100"/>
            </w:tcMar>
          </w:tcPr>
          <w:p>
            <w:r>
              <w:rPr>
                <w:sz w:val="19"/>
                <w:szCs w:val="19"/>
              </w:rPr>
              <w:t xml:space="preserve">Técnicos</w:t>
            </w:r>
          </w:p>
        </w:tc>
        <w:tc>
          <w:tcPr>
            <w:tcW w:type="dxa" w:w="3212"/>
            <w:tcMar>
              <w:top w:type="dxa" w:w="60"/>
              <w:left w:type="dxa" w:w="100"/>
              <w:bottom w:type="dxa" w:w="60"/>
              <w:right w:type="dxa" w:w="100"/>
            </w:tcMar>
          </w:tcPr>
          <w:p>
            <w:r>
              <w:rPr>
                <w:sz w:val="19"/>
                <w:szCs w:val="19"/>
              </w:rPr>
              <w:t xml:space="preserve">IP, identificadores de dispositivo, navegador, registros de acesso, cookies; IP e navegador usados no cadastro e na confirmação do e-mail; provedor do e-mail</w:t>
            </w:r>
          </w:p>
        </w:tc>
        <w:tc>
          <w:tcPr>
            <w:tcW w:type="dxa" w:w="3214"/>
            <w:tcMar>
              <w:top w:type="dxa" w:w="60"/>
              <w:left w:type="dxa" w:w="100"/>
              <w:bottom w:type="dxa" w:w="60"/>
              <w:right w:type="dxa" w:w="100"/>
            </w:tcMar>
          </w:tcPr>
          <w:p>
            <w:r>
              <w:rPr>
                <w:sz w:val="19"/>
                <w:szCs w:val="19"/>
              </w:rPr>
              <w:t xml:space="preserve">Coleta automática</w:t>
            </w:r>
          </w:p>
        </w:tc>
      </w:tr>
      <w:tr>
        <w:trPr>
          <w:tblHeader w:val="off"/>
        </w:trPr>
        <w:tc>
          <w:tcPr>
            <w:tcW w:type="dxa" w:w="3212"/>
            <w:tcMar>
              <w:top w:type="dxa" w:w="60"/>
              <w:left w:type="dxa" w:w="100"/>
              <w:bottom w:type="dxa" w:w="60"/>
              <w:right w:type="dxa" w:w="100"/>
            </w:tcMar>
          </w:tcPr>
          <w:p>
            <w:r>
              <w:rPr>
                <w:sz w:val="19"/>
                <w:szCs w:val="19"/>
              </w:rPr>
              <w:t xml:space="preserve">Clientes Finais</w:t>
            </w:r>
          </w:p>
        </w:tc>
        <w:tc>
          <w:tcPr>
            <w:tcW w:type="dxa" w:w="3212"/>
            <w:tcMar>
              <w:top w:type="dxa" w:w="60"/>
              <w:left w:type="dxa" w:w="100"/>
              <w:bottom w:type="dxa" w:w="60"/>
              <w:right w:type="dxa" w:w="100"/>
            </w:tcMar>
          </w:tcPr>
          <w:p>
            <w:r>
              <w:rPr>
                <w:sz w:val="19"/>
                <w:szCs w:val="19"/>
              </w:rPr>
              <w:t xml:space="preserve">Notas e comentário da avaliação, apelido opcional, data; sem cadastro</w:t>
            </w:r>
          </w:p>
        </w:tc>
        <w:tc>
          <w:tcPr>
            <w:tcW w:type="dxa" w:w="3214"/>
            <w:tcMar>
              <w:top w:type="dxa" w:w="60"/>
              <w:left w:type="dxa" w:w="100"/>
              <w:bottom w:type="dxa" w:w="60"/>
              <w:right w:type="dxa" w:w="100"/>
            </w:tcMar>
          </w:tcPr>
          <w:p>
            <w:r>
              <w:rPr>
                <w:sz w:val="19"/>
                <w:szCs w:val="19"/>
              </w:rPr>
              <w:t xml:space="preserve">Cliente Final</w:t>
            </w:r>
          </w:p>
        </w:tc>
      </w:tr>
      <w:tr>
        <w:trPr>
          <w:tblHeader w:val="off"/>
        </w:trPr>
        <w:tc>
          <w:tcPr>
            <w:tcW w:type="dxa" w:w="3212"/>
            <w:tcMar>
              <w:top w:type="dxa" w:w="60"/>
              <w:left w:type="dxa" w:w="100"/>
              <w:bottom w:type="dxa" w:w="60"/>
              <w:right w:type="dxa" w:w="100"/>
            </w:tcMar>
          </w:tcPr>
          <w:p>
            <w:r>
              <w:rPr>
                <w:sz w:val="19"/>
                <w:szCs w:val="19"/>
              </w:rPr>
              <w:t xml:space="preserve">Feedback do aplicativo</w:t>
            </w:r>
          </w:p>
        </w:tc>
        <w:tc>
          <w:tcPr>
            <w:tcW w:type="dxa" w:w="3212"/>
            <w:tcMar>
              <w:top w:type="dxa" w:w="60"/>
              <w:left w:type="dxa" w:w="100"/>
              <w:bottom w:type="dxa" w:w="60"/>
              <w:right w:type="dxa" w:w="100"/>
            </w:tcMar>
          </w:tcPr>
          <w:p>
            <w:r>
              <w:rPr>
                <w:sz w:val="19"/>
                <w:szCs w:val="19"/>
              </w:rPr>
              <w:t xml:space="preserve">Nota atribuída ao aplicativo, sugestões, relatos de erro (</w:t>
            </w:r>
            <w:r>
              <w:rPr>
                <w:i/>
                <w:iCs/>
                <w:sz w:val="19"/>
                <w:szCs w:val="19"/>
              </w:rPr>
              <w:t xml:space="preserve">bugs</w:t>
            </w:r>
            <w:r>
              <w:rPr>
                <w:sz w:val="19"/>
                <w:szCs w:val="19"/>
              </w:rPr>
              <w:t xml:space="preserve">), capturas de tela e dados técnicos anexados voluntariamente (versão do app, dispositivo, sistema operacional)</w:t>
            </w:r>
          </w:p>
        </w:tc>
        <w:tc>
          <w:tcPr>
            <w:tcW w:type="dxa" w:w="3214"/>
            <w:tcMar>
              <w:top w:type="dxa" w:w="60"/>
              <w:left w:type="dxa" w:w="100"/>
              <w:bottom w:type="dxa" w:w="60"/>
              <w:right w:type="dxa" w:w="100"/>
            </w:tcMar>
          </w:tcPr>
          <w:p>
            <w:r>
              <w:rPr>
                <w:sz w:val="19"/>
                <w:szCs w:val="19"/>
              </w:rPr>
              <w:t xml:space="preserve">Titular e coleta automática</w:t>
            </w:r>
          </w:p>
        </w:tc>
      </w:tr>
    </w:tbl>
    <w:p/>
    <w:p>
      <w:pPr>
        <w:spacing w:after="120"/>
        <w:jc w:val="both"/>
      </w:pPr>
      <w:r>
        <w:t xml:space="preserve">2.1. </w:t>
      </w:r>
      <w:r>
        <w:rPr>
          <w:b/>
          <w:bCs/>
        </w:rPr>
        <w:t xml:space="preserve">Dados sensíveis.</w:t>
      </w:r>
      <w:r>
        <w:t xml:space="preserve"> A Plataforma não solicita dados de saúde, origem racial, religião ou outros dados sensíveis. Registros profissionais são dados pessoais comuns. Se um Usuário incluir dados sensíveis em mensagens, avaliações, evidências ou no formulário de feedback, a Plataforma poderá removê-los.</w:t>
      </w:r>
    </w:p>
    <w:p>
      <w:pPr>
        <w:spacing w:after="120"/>
        <w:jc w:val="both"/>
      </w:pPr>
      <w:r>
        <w:t xml:space="preserve">2.2. </w:t>
      </w:r>
      <w:r>
        <w:rPr>
          <w:b/>
          <w:bCs/>
        </w:rPr>
        <w:t xml:space="preserve">Fotos dos Espaços.</w:t>
      </w:r>
      <w:r>
        <w:t xml:space="preserve"> As fotos dos Anúncios não devem mostrar pessoas, pacientes ou documentos identificáveis (Obrigações do Anfitrião, cláusula 5.2). Fotos que contenham dados pessoais de terceiros podem ser removidas ou ter as partes identificáveis ocultadas.</w:t>
      </w:r>
    </w:p>
    <w:p>
      <w:pPr>
        <w:spacing w:after="120"/>
        <w:jc w:val="both"/>
      </w:pPr>
      <w:r>
        <w:t xml:space="preserve">2.3. </w:t>
      </w:r>
      <w:r>
        <w:rPr>
          <w:b/>
          <w:bCs/>
        </w:rPr>
        <w:t xml:space="preserve">Formulário de feedback.</w:t>
      </w:r>
      <w:r>
        <w:t xml:space="preserve"> O aplicativo oferece um formulário de feedback (avaliação do aplicativo, sugestões e relato de erros). O envio é voluntário. Não inclua dados de pacientes, clientes ou dados sensíveis no feedback.</w:t>
      </w:r>
    </w:p>
    <w:p>
      <w:pPr>
        <w:pStyle w:val="Heading2"/>
      </w:pPr>
      <w:r>
        <w:t xml:space="preserve">3. Finalidades e bases legais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6F2F1" w:color="auto" w:val="clear"/>
            <w:tcMar>
              <w:top w:type="dxa" w:w="60"/>
              <w:left w:type="dxa" w:w="100"/>
              <w:bottom w:type="dxa" w:w="60"/>
              <w:right w:type="dxa" w:w="100"/>
            </w:tcMar>
          </w:tcPr>
          <w:p>
            <w:r>
              <w:rPr>
                <w:b/>
                <w:bCs/>
                <w:sz w:val="19"/>
                <w:szCs w:val="19"/>
              </w:rPr>
              <w:t xml:space="preserve">Finalidade</w:t>
            </w:r>
          </w:p>
        </w:tc>
        <w:tc>
          <w:tcPr>
            <w:tcW w:type="dxa" w:w="4819"/>
            <w:shd w:fill="E6F2F1" w:color="auto" w:val="clear"/>
            <w:tcMar>
              <w:top w:type="dxa" w:w="60"/>
              <w:left w:type="dxa" w:w="100"/>
              <w:bottom w:type="dxa" w:w="60"/>
              <w:right w:type="dxa" w:w="100"/>
            </w:tcMar>
          </w:tcPr>
          <w:p>
            <w:r>
              <w:rPr>
                <w:b/>
                <w:bCs/>
                <w:sz w:val="19"/>
                <w:szCs w:val="19"/>
              </w:rPr>
              <w:t xml:space="preserve">Base legal (LGPD / RGPD)</w:t>
            </w:r>
          </w:p>
        </w:tc>
      </w:tr>
      <w:tr>
        <w:trPr>
          <w:tblHeader w:val="off"/>
        </w:trPr>
        <w:tc>
          <w:tcPr>
            <w:tcW w:type="dxa" w:w="4819"/>
            <w:tcMar>
              <w:top w:type="dxa" w:w="60"/>
              <w:left w:type="dxa" w:w="100"/>
              <w:bottom w:type="dxa" w:w="60"/>
              <w:right w:type="dxa" w:w="100"/>
            </w:tcMar>
          </w:tcPr>
          <w:p>
            <w:r>
              <w:rPr>
                <w:sz w:val="19"/>
                <w:szCs w:val="19"/>
              </w:rPr>
              <w:t xml:space="preserve">Criar e manter a conta; prestar o serviço de intermediação; processar Reservas</w:t>
            </w:r>
          </w:p>
        </w:tc>
        <w:tc>
          <w:tcPr>
            <w:tcW w:type="dxa" w:w="4819"/>
            <w:tcMar>
              <w:top w:type="dxa" w:w="60"/>
              <w:left w:type="dxa" w:w="100"/>
              <w:bottom w:type="dxa" w:w="60"/>
              <w:right w:type="dxa" w:w="100"/>
            </w:tcMar>
          </w:tcPr>
          <w:p>
            <w:r>
              <w:rPr>
                <w:sz w:val="19"/>
                <w:szCs w:val="19"/>
              </w:rPr>
              <w:t xml:space="preserve">Execução de contrato (LGPD art. 7º, V; RGPD art. 6(1)(b))</w:t>
            </w:r>
          </w:p>
        </w:tc>
      </w:tr>
      <w:tr>
        <w:trPr>
          <w:tblHeader w:val="off"/>
        </w:trPr>
        <w:tc>
          <w:tcPr>
            <w:tcW w:type="dxa" w:w="4819"/>
            <w:tcMar>
              <w:top w:type="dxa" w:w="60"/>
              <w:left w:type="dxa" w:w="100"/>
              <w:bottom w:type="dxa" w:w="60"/>
              <w:right w:type="dxa" w:w="100"/>
            </w:tcMar>
          </w:tcPr>
          <w:p>
            <w:r>
              <w:rPr>
                <w:sz w:val="19"/>
                <w:szCs w:val="19"/>
              </w:rPr>
              <w:t xml:space="preserve">Processar pagamentos, reembolsos, Caução e repasses</w:t>
            </w:r>
          </w:p>
        </w:tc>
        <w:tc>
          <w:tcPr>
            <w:tcW w:type="dxa" w:w="4819"/>
            <w:tcMar>
              <w:top w:type="dxa" w:w="60"/>
              <w:left w:type="dxa" w:w="100"/>
              <w:bottom w:type="dxa" w:w="60"/>
              <w:right w:type="dxa" w:w="100"/>
            </w:tcMar>
          </w:tcPr>
          <w:p>
            <w:r>
              <w:rPr>
                <w:sz w:val="19"/>
                <w:szCs w:val="19"/>
              </w:rPr>
              <w:t xml:space="preserve">Execução de contrato; cumprimento de obrigação legal</w:t>
            </w:r>
          </w:p>
        </w:tc>
      </w:tr>
      <w:tr>
        <w:trPr>
          <w:tblHeader w:val="off"/>
        </w:trPr>
        <w:tc>
          <w:tcPr>
            <w:tcW w:type="dxa" w:w="4819"/>
            <w:tcMar>
              <w:top w:type="dxa" w:w="60"/>
              <w:left w:type="dxa" w:w="100"/>
              <w:bottom w:type="dxa" w:w="60"/>
              <w:right w:type="dxa" w:w="100"/>
            </w:tcMar>
          </w:tcPr>
          <w:p>
            <w:r>
              <w:rPr>
                <w:sz w:val="19"/>
                <w:szCs w:val="19"/>
              </w:rPr>
              <w:t xml:space="preserve">Verificar identidade e registro profissional (inclusive pré-triagem automatizada com apoio de inteligência artificial); prevenir fraude, lavagem de dinheiro, exercício ilegal de profissão e uso indevido</w:t>
            </w:r>
          </w:p>
        </w:tc>
        <w:tc>
          <w:tcPr>
            <w:tcW w:type="dxa" w:w="4819"/>
            <w:tcMar>
              <w:top w:type="dxa" w:w="60"/>
              <w:left w:type="dxa" w:w="100"/>
              <w:bottom w:type="dxa" w:w="60"/>
              <w:right w:type="dxa" w:w="100"/>
            </w:tcMar>
          </w:tcPr>
          <w:p>
            <w:r>
              <w:rPr>
                <w:sz w:val="19"/>
                <w:szCs w:val="19"/>
              </w:rPr>
              <w:t xml:space="preserve">Legítimo interesse; cumprimento de obrigação legal ou regulatória; execução de contrato; garantia da prevenção à fraude (LGPD art. 11, II, g, quando aplicável)</w:t>
            </w:r>
          </w:p>
        </w:tc>
      </w:tr>
      <w:tr>
        <w:trPr>
          <w:tblHeader w:val="off"/>
        </w:trPr>
        <w:tc>
          <w:tcPr>
            <w:tcW w:type="dxa" w:w="4819"/>
            <w:tcMar>
              <w:top w:type="dxa" w:w="60"/>
              <w:left w:type="dxa" w:w="100"/>
              <w:bottom w:type="dxa" w:w="60"/>
              <w:right w:type="dxa" w:w="100"/>
            </w:tcMar>
          </w:tcPr>
          <w:p>
            <w:r>
              <w:rPr>
                <w:sz w:val="19"/>
                <w:szCs w:val="19"/>
              </w:rPr>
              <w:t xml:space="preserve">Comunicar às autoridades e aos órgãos profissionais casos de exercício ilegal de profissão</w:t>
            </w:r>
          </w:p>
        </w:tc>
        <w:tc>
          <w:tcPr>
            <w:tcW w:type="dxa" w:w="4819"/>
            <w:tcMar>
              <w:top w:type="dxa" w:w="60"/>
              <w:left w:type="dxa" w:w="100"/>
              <w:bottom w:type="dxa" w:w="60"/>
              <w:right w:type="dxa" w:w="100"/>
            </w:tcMar>
          </w:tcPr>
          <w:p>
            <w:r>
              <w:rPr>
                <w:sz w:val="19"/>
                <w:szCs w:val="19"/>
              </w:rPr>
              <w:t xml:space="preserve">Cumprimento de obrigação legal; exercício regular de direitos; legítimo interesse</w:t>
            </w:r>
          </w:p>
        </w:tc>
      </w:tr>
      <w:tr>
        <w:trPr>
          <w:tblHeader w:val="off"/>
        </w:trPr>
        <w:tc>
          <w:tcPr>
            <w:tcW w:type="dxa" w:w="4819"/>
            <w:tcMar>
              <w:top w:type="dxa" w:w="60"/>
              <w:left w:type="dxa" w:w="100"/>
              <w:bottom w:type="dxa" w:w="60"/>
              <w:right w:type="dxa" w:w="100"/>
            </w:tcMar>
          </w:tcPr>
          <w:p>
            <w:r>
              <w:rPr>
                <w:sz w:val="19"/>
                <w:szCs w:val="19"/>
              </w:rPr>
              <w:t xml:space="preserve">Analisar o feedback do aplicativo e usá-lo para corrigir erros e melhorar o serviço</w:t>
            </w:r>
          </w:p>
        </w:tc>
        <w:tc>
          <w:tcPr>
            <w:tcW w:type="dxa" w:w="4819"/>
            <w:tcMar>
              <w:top w:type="dxa" w:w="60"/>
              <w:left w:type="dxa" w:w="100"/>
              <w:bottom w:type="dxa" w:w="60"/>
              <w:right w:type="dxa" w:w="100"/>
            </w:tcMar>
          </w:tcPr>
          <w:p>
            <w:r>
              <w:rPr>
                <w:sz w:val="19"/>
                <w:szCs w:val="19"/>
              </w:rPr>
              <w:t xml:space="preserve">Legítimo interesse (melhoria do serviço); execução de contrato (suporte)</w:t>
            </w:r>
          </w:p>
        </w:tc>
      </w:tr>
      <w:tr>
        <w:trPr>
          <w:tblHeader w:val="off"/>
        </w:trPr>
        <w:tc>
          <w:tcPr>
            <w:tcW w:type="dxa" w:w="4819"/>
            <w:tcMar>
              <w:top w:type="dxa" w:w="60"/>
              <w:left w:type="dxa" w:w="100"/>
              <w:bottom w:type="dxa" w:w="60"/>
              <w:right w:type="dxa" w:w="100"/>
            </w:tcMar>
          </w:tcPr>
          <w:p>
            <w:r>
              <w:rPr>
                <w:sz w:val="19"/>
                <w:szCs w:val="19"/>
              </w:rPr>
              <w:t xml:space="preserve">Convidar e registrar o Avalista; cobrar valores garantidos</w:t>
            </w:r>
          </w:p>
        </w:tc>
        <w:tc>
          <w:tcPr>
            <w:tcW w:type="dxa" w:w="4819"/>
            <w:tcMar>
              <w:top w:type="dxa" w:w="60"/>
              <w:left w:type="dxa" w:w="100"/>
              <w:bottom w:type="dxa" w:w="60"/>
              <w:right w:type="dxa" w:w="100"/>
            </w:tcMar>
          </w:tcPr>
          <w:p>
            <w:r>
              <w:rPr>
                <w:sz w:val="19"/>
                <w:szCs w:val="19"/>
              </w:rPr>
              <w:t xml:space="preserve">Execução de contrato; legítimo interesse; exercício regular de direitos</w:t>
            </w:r>
          </w:p>
        </w:tc>
      </w:tr>
      <w:tr>
        <w:trPr>
          <w:tblHeader w:val="off"/>
        </w:trPr>
        <w:tc>
          <w:tcPr>
            <w:tcW w:type="dxa" w:w="4819"/>
            <w:tcMar>
              <w:top w:type="dxa" w:w="60"/>
              <w:left w:type="dxa" w:w="100"/>
              <w:bottom w:type="dxa" w:w="60"/>
              <w:right w:type="dxa" w:w="100"/>
            </w:tcMar>
          </w:tcPr>
          <w:p>
            <w:r>
              <w:rPr>
                <w:sz w:val="19"/>
                <w:szCs w:val="19"/>
              </w:rPr>
              <w:t xml:space="preserve">Aplicar regras, analisar Incidentes, decidir disputas</w:t>
            </w:r>
          </w:p>
        </w:tc>
        <w:tc>
          <w:tcPr>
            <w:tcW w:type="dxa" w:w="4819"/>
            <w:tcMar>
              <w:top w:type="dxa" w:w="60"/>
              <w:left w:type="dxa" w:w="100"/>
              <w:bottom w:type="dxa" w:w="60"/>
              <w:right w:type="dxa" w:w="100"/>
            </w:tcMar>
          </w:tcPr>
          <w:p>
            <w:r>
              <w:rPr>
                <w:sz w:val="19"/>
                <w:szCs w:val="19"/>
              </w:rPr>
              <w:t xml:space="preserve">Execução de contrato; exercício regular de direitos em processo</w:t>
            </w:r>
          </w:p>
        </w:tc>
      </w:tr>
      <w:tr>
        <w:trPr>
          <w:tblHeader w:val="off"/>
        </w:trPr>
        <w:tc>
          <w:tcPr>
            <w:tcW w:type="dxa" w:w="4819"/>
            <w:tcMar>
              <w:top w:type="dxa" w:w="60"/>
              <w:left w:type="dxa" w:w="100"/>
              <w:bottom w:type="dxa" w:w="60"/>
              <w:right w:type="dxa" w:w="100"/>
            </w:tcMar>
          </w:tcPr>
          <w:p>
            <w:r>
              <w:rPr>
                <w:sz w:val="19"/>
                <w:szCs w:val="19"/>
              </w:rPr>
              <w:t xml:space="preserve">Emitir documentos fiscais; comunicar rendimentos (ex.: DAC7, 1099-K)</w:t>
            </w:r>
          </w:p>
        </w:tc>
        <w:tc>
          <w:tcPr>
            <w:tcW w:type="dxa" w:w="4819"/>
            <w:tcMar>
              <w:top w:type="dxa" w:w="60"/>
              <w:left w:type="dxa" w:w="100"/>
              <w:bottom w:type="dxa" w:w="60"/>
              <w:right w:type="dxa" w:w="100"/>
            </w:tcMar>
          </w:tcPr>
          <w:p>
            <w:r>
              <w:rPr>
                <w:sz w:val="19"/>
                <w:szCs w:val="19"/>
              </w:rPr>
              <w:t xml:space="preserve">Cumprimento de obrigação legal</w:t>
            </w:r>
          </w:p>
        </w:tc>
      </w:tr>
      <w:tr>
        <w:trPr>
          <w:tblHeader w:val="off"/>
        </w:trPr>
        <w:tc>
          <w:tcPr>
            <w:tcW w:type="dxa" w:w="4819"/>
            <w:tcMar>
              <w:top w:type="dxa" w:w="60"/>
              <w:left w:type="dxa" w:w="100"/>
              <w:bottom w:type="dxa" w:w="60"/>
              <w:right w:type="dxa" w:w="100"/>
            </w:tcMar>
          </w:tcPr>
          <w:p>
            <w:r>
              <w:rPr>
                <w:sz w:val="19"/>
                <w:szCs w:val="19"/>
              </w:rPr>
              <w:t xml:space="preserve">Publicar avaliações e calcular reputação</w:t>
            </w:r>
          </w:p>
        </w:tc>
        <w:tc>
          <w:tcPr>
            <w:tcW w:type="dxa" w:w="4819"/>
            <w:tcMar>
              <w:top w:type="dxa" w:w="60"/>
              <w:left w:type="dxa" w:w="100"/>
              <w:bottom w:type="dxa" w:w="60"/>
              <w:right w:type="dxa" w:w="100"/>
            </w:tcMar>
          </w:tcPr>
          <w:p>
            <w:r>
              <w:rPr>
                <w:sz w:val="19"/>
                <w:szCs w:val="19"/>
              </w:rPr>
              <w:t xml:space="preserve">Execução de contrato; legítimo interesse</w:t>
            </w:r>
          </w:p>
        </w:tc>
      </w:tr>
      <w:tr>
        <w:trPr>
          <w:tblHeader w:val="off"/>
        </w:trPr>
        <w:tc>
          <w:tcPr>
            <w:tcW w:type="dxa" w:w="4819"/>
            <w:tcMar>
              <w:top w:type="dxa" w:w="60"/>
              <w:left w:type="dxa" w:w="100"/>
              <w:bottom w:type="dxa" w:w="60"/>
              <w:right w:type="dxa" w:w="100"/>
            </w:tcMar>
          </w:tcPr>
          <w:p>
            <w:r>
              <w:rPr>
                <w:sz w:val="19"/>
                <w:szCs w:val="19"/>
              </w:rPr>
              <w:t xml:space="preserve">Segurança da informação, registros de acesso</w:t>
            </w:r>
          </w:p>
        </w:tc>
        <w:tc>
          <w:tcPr>
            <w:tcW w:type="dxa" w:w="4819"/>
            <w:tcMar>
              <w:top w:type="dxa" w:w="60"/>
              <w:left w:type="dxa" w:w="100"/>
              <w:bottom w:type="dxa" w:w="60"/>
              <w:right w:type="dxa" w:w="100"/>
            </w:tcMar>
          </w:tcPr>
          <w:p>
            <w:r>
              <w:rPr>
                <w:sz w:val="19"/>
                <w:szCs w:val="19"/>
              </w:rPr>
              <w:t xml:space="preserve">Obrigação legal (no Brasil, Marco Civil da Internet, art. 15); legítimo interesse</w:t>
            </w:r>
          </w:p>
        </w:tc>
      </w:tr>
      <w:tr>
        <w:trPr>
          <w:tblHeader w:val="off"/>
        </w:trPr>
        <w:tc>
          <w:tcPr>
            <w:tcW w:type="dxa" w:w="4819"/>
            <w:tcMar>
              <w:top w:type="dxa" w:w="60"/>
              <w:left w:type="dxa" w:w="100"/>
              <w:bottom w:type="dxa" w:w="60"/>
              <w:right w:type="dxa" w:w="100"/>
            </w:tcMar>
          </w:tcPr>
          <w:p>
            <w:r>
              <w:rPr>
                <w:sz w:val="19"/>
                <w:szCs w:val="19"/>
              </w:rPr>
              <w:t xml:space="preserve">Comunicações de serviço</w:t>
            </w:r>
          </w:p>
        </w:tc>
        <w:tc>
          <w:tcPr>
            <w:tcW w:type="dxa" w:w="4819"/>
            <w:tcMar>
              <w:top w:type="dxa" w:w="60"/>
              <w:left w:type="dxa" w:w="100"/>
              <w:bottom w:type="dxa" w:w="60"/>
              <w:right w:type="dxa" w:w="100"/>
            </w:tcMar>
          </w:tcPr>
          <w:p>
            <w:r>
              <w:rPr>
                <w:sz w:val="19"/>
                <w:szCs w:val="19"/>
              </w:rPr>
              <w:t xml:space="preserve">Execução de contrato</w:t>
            </w:r>
          </w:p>
        </w:tc>
      </w:tr>
      <w:tr>
        <w:trPr>
          <w:tblHeader w:val="off"/>
        </w:trPr>
        <w:tc>
          <w:tcPr>
            <w:tcW w:type="dxa" w:w="4819"/>
            <w:tcMar>
              <w:top w:type="dxa" w:w="60"/>
              <w:left w:type="dxa" w:w="100"/>
              <w:bottom w:type="dxa" w:w="60"/>
              <w:right w:type="dxa" w:w="100"/>
            </w:tcMar>
          </w:tcPr>
          <w:p>
            <w:r>
              <w:rPr>
                <w:sz w:val="19"/>
                <w:szCs w:val="19"/>
              </w:rPr>
              <w:t xml:space="preserve">Marketing e novidades</w:t>
            </w:r>
          </w:p>
        </w:tc>
        <w:tc>
          <w:tcPr>
            <w:tcW w:type="dxa" w:w="4819"/>
            <w:tcMar>
              <w:top w:type="dxa" w:w="60"/>
              <w:left w:type="dxa" w:w="100"/>
              <w:bottom w:type="dxa" w:w="60"/>
              <w:right w:type="dxa" w:w="100"/>
            </w:tcMar>
          </w:tcPr>
          <w:p>
            <w:r>
              <w:rPr>
                <w:sz w:val="19"/>
                <w:szCs w:val="19"/>
              </w:rPr>
              <w:t xml:space="preserve">Consentimento ou legítimo interesse com opção de descadastro</w:t>
            </w:r>
          </w:p>
        </w:tc>
      </w:tr>
      <w:tr>
        <w:trPr>
          <w:tblHeader w:val="off"/>
        </w:trPr>
        <w:tc>
          <w:tcPr>
            <w:tcW w:type="dxa" w:w="4819"/>
            <w:tcMar>
              <w:top w:type="dxa" w:w="60"/>
              <w:left w:type="dxa" w:w="100"/>
              <w:bottom w:type="dxa" w:w="60"/>
              <w:right w:type="dxa" w:w="100"/>
            </w:tcMar>
          </w:tcPr>
          <w:p>
            <w:r>
              <w:rPr>
                <w:sz w:val="19"/>
                <w:szCs w:val="19"/>
              </w:rPr>
              <w:t xml:space="preserve">Cookies não essenciais (análise, publicidade)</w:t>
            </w:r>
          </w:p>
        </w:tc>
        <w:tc>
          <w:tcPr>
            <w:tcW w:type="dxa" w:w="4819"/>
            <w:tcMar>
              <w:top w:type="dxa" w:w="60"/>
              <w:left w:type="dxa" w:w="100"/>
              <w:bottom w:type="dxa" w:w="60"/>
              <w:right w:type="dxa" w:w="100"/>
            </w:tcMar>
          </w:tcPr>
          <w:p>
            <w:r>
              <w:rPr>
                <w:sz w:val="19"/>
                <w:szCs w:val="19"/>
              </w:rPr>
              <w:t xml:space="preserve">Consentimento</w:t>
            </w:r>
          </w:p>
        </w:tc>
      </w:tr>
    </w:tbl>
    <w:p/>
    <w:p>
      <w:pPr>
        <w:spacing w:after="120"/>
        <w:jc w:val="both"/>
      </w:pPr>
      <w:r>
        <w:t xml:space="preserve">3.1. Não tomamos decisões exclusivamente automatizadas com efeitos jurídicos significativos sem revisão humana. Sistemas automáticos podem sinalizar mensagens com indícios de pagamento fora da Plataforma ou fraude, mas qualquer suspensão ou exclusão é revisada por pessoa, e o titular pode solicitar revisão (LGPD art. 20; RGPD art. 22).</w:t>
      </w:r>
    </w:p>
    <w:p>
      <w:pPr>
        <w:spacing w:after="120"/>
        <w:jc w:val="both"/>
      </w:pPr>
      <w:r>
        <w:t xml:space="preserve">3.2. </w:t>
      </w:r>
      <w:r>
        <w:rPr>
          <w:b/>
          <w:bCs/>
        </w:rPr>
        <w:t xml:space="preserve">Pré-triagem do registro profissional com inteligência artificial.</w:t>
      </w:r>
      <w:r>
        <w:t xml:space="preserve"> Um agente de inteligência artificial analisa o documento e o número de registro enviados, verificando legibilidade, aparente autenticidade e coerência com o nome do titular e com o órgão regulador do país e da atividade. O resultado pode ser: aprovado na pré-triagem, pedido de documentos adicionais ou encaminhamento para revisão humana. A pré-triagem não gera, por si só, recusa definitiva, e o titular pode pedir revisão humana e apresentar esclarecimentos pelo e-mail info@wmundi.com. Os documentos são processados por fornecedores de tecnologia contratados como operadores, que não podem usá-los para treinar modelos próprios nem para outras finalidades. A pré-triagem não é garantia de validade do registro (Termos de Uso, cláusula 6.6).</w:t>
      </w:r>
    </w:p>
    <w:p>
      <w:pPr>
        <w:spacing w:after="120"/>
        <w:jc w:val="both"/>
      </w:pPr>
      <w:r>
        <w:t xml:space="preserve">3.3. </w:t>
      </w:r>
      <w:r>
        <w:rPr>
          <w:b/>
          <w:bCs/>
        </w:rPr>
        <w:t xml:space="preserve">Uso do feedback.</w:t>
      </w:r>
      <w:r>
        <w:t xml:space="preserve"> O conteúdo do feedback pode ser usado, de forma agregada ou anonimizada sempre que possível, para melhorar o aplicativo e o serviço. Sugestões podem ser implementadas sem que isso gere direito a remuneração. O feedback não é publicado com identificação do autor sem o seu consentimento.</w:t>
      </w:r>
    </w:p>
    <w:p>
      <w:pPr>
        <w:spacing w:after="120"/>
        <w:jc w:val="both"/>
      </w:pPr>
      <w:r>
        <w:t xml:space="preserve">3.4. </w:t>
      </w:r>
      <w:r>
        <w:rPr>
          <w:b/>
          <w:bCs/>
        </w:rPr>
        <w:t xml:space="preserve">Assistente virtual.</w:t>
      </w:r>
      <w:r>
        <w:t xml:space="preserve"> O site oferece um assistente de inteligência artificial para tirar dúvidas. As mensagens enviadas a ele, a página em que a conversa ocorreu e, se houver login, a identificação da conta são registradas e enviadas à equipe da Operadora para responder, corrigir problemas e melhorar o serviço (legítimo interesse e execução de contrato). O processamento é feito por fornecedor de tecnologia contratado como operador, que não pode usar os dados para outras finalidades. Não envie ao assistente senhas, dados de cartão, dados de saúde de pacientes ou outros dados sensíveis. As respostas do assistente são informativas e não substituem os Termos e documentos oficiais.</w:t>
      </w:r>
    </w:p>
    <w:p>
      <w:pPr>
        <w:spacing w:after="120"/>
        <w:jc w:val="both"/>
      </w:pPr>
      <w:r>
        <w:t xml:space="preserve">3.4. </w:t>
      </w:r>
      <w:r>
        <w:rPr>
          <w:b/>
          <w:bCs/>
        </w:rPr>
        <w:t xml:space="preserve">Verificação de identidade (documento e selfie).</w:t>
      </w:r>
      <w:r>
        <w:t xml:space="preserve"> Para dar mais segurança a Anfitriões e Locatários, o titular pode enviar o CPF ou CNPJ, uma foto do documento de identidade e uma selfie. A checagem é automática: confere os dígitos do CPF/CNPJ; consulta a situação cadastral e o quadro de sócios do CNPJ na base pública da Receita Federal; e um sistema de inteligência artificial lê o documento (nome, CPF, data de nascimento), procura sinais de adulteração e verifica se a selfie é uma foto real tirada na hora. </w:t>
      </w:r>
      <w:r>
        <w:rPr>
          <w:b/>
          <w:bCs/>
        </w:rPr>
        <w:t xml:space="preserve">A Plataforma não faz reconhecimento facial automatizado</w:t>
      </w:r>
      <w:r>
        <w:t xml:space="preserve"> nem compara rostos por meio técnico; quando a checagem automática não é conclusiva, a equipe revê o caso. As fotos são tratadas como dados de alto risco, com base no art. 11, II, "g", da LGPD (prevenção à fraude e segurança do titular em processos de identificação e autenticação de cadastro): ficam cifradas, cada acesso é registrado e são apagadas 90 dias após a conferência, salvo necessidade de guarda para exercício regular de direitos em disputa. O resultado aparece no perfil como selo de identidade verificada. O titular pode pedir revisão humana pelo e-mail info@wmundi.com.</w:t>
      </w:r>
    </w:p>
    <w:p>
      <w:pPr>
        <w:spacing w:after="120"/>
        <w:jc w:val="both"/>
      </w:pPr>
      <w:r>
        <w:t xml:space="preserve">3.5. </w:t>
      </w:r>
      <w:r>
        <w:rPr>
          <w:b/>
          <w:bCs/>
        </w:rPr>
        <w:t xml:space="preserve">Registro de segurança.</w:t>
      </w:r>
      <w:r>
        <w:t xml:space="preserve"> Guardamos o IP, o navegador e o horário do cadastro e da confirmação do e-mail, e recusamos e-mails temporários (descartáveis), para prevenir fraude e cumprir a guarda de registros de acesso (Marco Civil da Internet, art. 15).</w:t>
      </w:r>
    </w:p>
    <w:p>
      <w:pPr>
        <w:pStyle w:val="Heading2"/>
      </w:pPr>
      <w:r>
        <w:t xml:space="preserve">4. Compartilhamento</w:t>
      </w:r>
    </w:p>
    <w:p>
      <w:pPr>
        <w:spacing w:after="120"/>
        <w:jc w:val="both"/>
      </w:pPr>
      <w:r>
        <w:t xml:space="preserve">4.1. </w:t>
      </w:r>
      <w:r>
        <w:rPr>
          <w:b/>
          <w:bCs/>
        </w:rPr>
        <w:t xml:space="preserve">Entre Anfitrião e Locatário.</w:t>
      </w:r>
      <w:r>
        <w:t xml:space="preserve"> Após a confirmação de uma Reserva, o Anfitrião recebe o nome, o perfil público, a atividade declarada, o número de pessoas e, quando o Anúncio exigir, a indicação de registro profissional verificado do Locatário; o Locatário recebe o endereço completo e as instruções de acesso do Espaço. Telefone e e-mail não são exibidos, e as partes se comunicam pela Plataforma.</w:t>
      </w:r>
    </w:p>
    <w:p>
      <w:pPr>
        <w:spacing w:after="120"/>
        <w:jc w:val="both"/>
      </w:pPr>
      <w:r>
        <w:t xml:space="preserve">4.2. </w:t>
      </w:r>
      <w:r>
        <w:rPr>
          <w:b/>
          <w:bCs/>
        </w:rPr>
        <w:t xml:space="preserve">Avalista.</w:t>
      </w:r>
      <w:r>
        <w:t xml:space="preserve"> O Avalista recebe dados da Reserva necessários para sua decisão (nome do Locatário, Espaço, datas, total e limite). O Anfitrião vê somente o nome do Avalista e o status; demais dados são compartilhados apenas se necessários à cobrança.</w:t>
      </w:r>
    </w:p>
    <w:p>
      <w:pPr>
        <w:spacing w:after="120"/>
        <w:jc w:val="both"/>
      </w:pPr>
      <w:r>
        <w:t xml:space="preserve">4.3. </w:t>
      </w:r>
      <w:r>
        <w:rPr>
          <w:b/>
          <w:bCs/>
        </w:rPr>
        <w:t xml:space="preserve">Processadores de pagamento</w:t>
      </w:r>
      <w:r>
        <w:t xml:space="preserve"> e instituições financeiras, para autorização, captura, Caução, estornos, repasses e prevenção à fraude:</w:t>
      </w:r>
    </w:p>
    <w:p>
      <w:pPr>
        <w:pStyle w:val="ListParagraph"/>
        <w:numPr>
          <w:ilvl w:val="0"/>
          <w:numId w:val="2"/>
        </w:numPr>
        <w:spacing w:after="60"/>
      </w:pPr>
      <w:r>
        <w:t xml:space="preserve">(a) </w:t>
      </w:r>
      <w:r>
        <w:rPr>
          <w:b/>
          <w:bCs/>
        </w:rPr>
        <w:t xml:space="preserve">Mercado Pago</w:t>
      </w:r>
      <w:r>
        <w:t xml:space="preserve"> (grupo Mercado Libre), principalmente no Brasil, na Argentina, no Chile, na Colômbia, no México, no Peru e no Uruguai;</w:t>
      </w:r>
    </w:p>
    <w:p>
      <w:pPr>
        <w:pStyle w:val="ListParagraph"/>
        <w:numPr>
          <w:ilvl w:val="0"/>
          <w:numId w:val="2"/>
        </w:numPr>
        <w:spacing w:after="60"/>
      </w:pPr>
      <w:r>
        <w:t xml:space="preserve">(b) </w:t>
      </w:r>
      <w:r>
        <w:rPr>
          <w:b/>
          <w:bCs/>
        </w:rPr>
        <w:t xml:space="preserve">Stripe</w:t>
      </w:r>
      <w:r>
        <w:t xml:space="preserve"> (Stripe, Inc. e suas afiliadas, como a Stripe Payments Europe, Ltd.), nos demais países e em operações internacionais.</w:t>
      </w:r>
    </w:p>
    <w:p>
      <w:pPr>
        <w:spacing w:after="120"/>
        <w:jc w:val="both"/>
      </w:pPr>
      <w:r>
        <w:t xml:space="preserve">Os dados de cartão são informados diretamente nos ambientes seguros desses processadores (certificados PCI DSS) e nunca transitam pelos servidores da Plataforma. Os processadores podem atuar como controladores independentes em relação a parte dos dados (por exemplo, para prevenção à fraude, KYC e cumprimento de obrigações regulatórias), conforme suas próprias políticas de privacidade.</w:t>
      </w:r>
    </w:p>
    <w:p>
      <w:pPr>
        <w:spacing w:after="120"/>
        <w:jc w:val="both"/>
      </w:pPr>
      <w:r>
        <w:t xml:space="preserve">4.4. </w:t>
      </w:r>
      <w:r>
        <w:rPr>
          <w:b/>
          <w:bCs/>
        </w:rPr>
        <w:t xml:space="preserve">Prestadores de serviço</w:t>
      </w:r>
      <w:r>
        <w:t xml:space="preserve"> (operadores) sob contrato: hospedagem em nuvem, envio de e-mails e notificações, verificação de identidade, tecnologia de inteligência artificial usada na pré-triagem do registro profissional, atendimento, gestão de feedback e relatos de erro, análise de dados, que tratam dados apenas conforme nossas instruções. A lista atualizada de suboperadores pode ser solicitada pelo e-mail info@wmundi.com.</w:t>
      </w:r>
    </w:p>
    <w:p>
      <w:pPr>
        <w:spacing w:after="120"/>
        <w:jc w:val="both"/>
      </w:pPr>
      <w:r>
        <w:t xml:space="preserve">4.5. </w:t>
      </w:r>
      <w:r>
        <w:rPr>
          <w:b/>
          <w:bCs/>
        </w:rPr>
        <w:t xml:space="preserve">Autoridades</w:t>
      </w:r>
      <w:r>
        <w:t xml:space="preserve"> públicas, judiciais, fiscais e conselhos profissionais, quando exigido por lei, ordem ou para exercício de direitos.</w:t>
      </w:r>
    </w:p>
    <w:p>
      <w:pPr>
        <w:spacing w:after="120"/>
        <w:jc w:val="both"/>
      </w:pPr>
      <w:r>
        <w:t xml:space="preserve">4.6. </w:t>
      </w:r>
      <w:r>
        <w:rPr>
          <w:b/>
          <w:bCs/>
        </w:rPr>
        <w:t xml:space="preserve">Operações societárias</w:t>
      </w:r>
      <w:r>
        <w:t xml:space="preserve">, em caso de fusão, aquisição ou reorganização, mantidas as garantias desta Política.</w:t>
      </w:r>
    </w:p>
    <w:p>
      <w:pPr>
        <w:spacing w:after="120"/>
        <w:jc w:val="both"/>
      </w:pPr>
      <w:r>
        <w:t xml:space="preserve">4.7. Não vendemos dados pessoais.</w:t>
      </w:r>
    </w:p>
    <w:p>
      <w:pPr>
        <w:pStyle w:val="Heading2"/>
      </w:pPr>
      <w:r>
        <w:t xml:space="preserve">5. Transferências internacionais</w:t>
      </w:r>
    </w:p>
    <w:p>
      <w:pPr>
        <w:spacing w:after="120"/>
        <w:jc w:val="both"/>
      </w:pPr>
      <w:r>
        <w:t xml:space="preserve">5.1. A Plataforma opera em diversos países e pode transferir dados para fora do país do titular, inclusive para prestadores de nuvem e de inteligência artificial, para os processadores de pagamento (o Mercado Pago pode tratar dados em países da América Latina e em outros locais onde o grupo opera; a Stripe trata dados principalmente nos Estados Unidos e na União Europeia) e entre o país do Locatário e o do Espaço.</w:t>
      </w:r>
    </w:p>
    <w:p>
      <w:pPr>
        <w:spacing w:after="120"/>
        <w:jc w:val="both"/>
      </w:pPr>
      <w:r>
        <w:t xml:space="preserve">5.2. As transferências observam os mecanismos exigidos pela lei aplicável, tais como: cláusulas-padrão contratuais aprovadas pela ANPD (Brasil, Resolução CD/ANPD nº 19/2024); cláusulas contratuais-tipo da Comissão Europeia e decisões de adequação (RGPD, arts. 45 e 46), inclusive o EU-U.S. Data Privacy Framework para destinatários certificados; IDTA/Addendum do Reino Unido; mecanismos da PIPL (China), incluindo armazenamento local e avaliação de segurança quando exigidos; e as regras equivalentes das demais leis indicadas em Regras por País.</w:t>
      </w:r>
    </w:p>
    <w:p>
      <w:pPr>
        <w:pStyle w:val="Heading2"/>
      </w:pPr>
      <w:r>
        <w:t xml:space="preserve">6. Retenção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E6F2F1" w:color="auto" w:val="clear"/>
            <w:tcMar>
              <w:top w:type="dxa" w:w="60"/>
              <w:left w:type="dxa" w:w="100"/>
              <w:bottom w:type="dxa" w:w="60"/>
              <w:right w:type="dxa" w:w="100"/>
            </w:tcMar>
          </w:tcPr>
          <w:p>
            <w:r>
              <w:rPr>
                <w:b/>
                <w:bCs/>
                <w:sz w:val="19"/>
                <w:szCs w:val="19"/>
              </w:rPr>
              <w:t xml:space="preserve">Dado</w:t>
            </w:r>
          </w:p>
        </w:tc>
        <w:tc>
          <w:tcPr>
            <w:tcW w:type="dxa" w:w="4819"/>
            <w:shd w:fill="E6F2F1" w:color="auto" w:val="clear"/>
            <w:tcMar>
              <w:top w:type="dxa" w:w="60"/>
              <w:left w:type="dxa" w:w="100"/>
              <w:bottom w:type="dxa" w:w="60"/>
              <w:right w:type="dxa" w:w="100"/>
            </w:tcMar>
          </w:tcPr>
          <w:p>
            <w:r>
              <w:rPr>
                <w:b/>
                <w:bCs/>
                <w:sz w:val="19"/>
                <w:szCs w:val="19"/>
              </w:rPr>
              <w:t xml:space="preserve">Prazo</w:t>
            </w:r>
          </w:p>
        </w:tc>
      </w:tr>
      <w:tr>
        <w:trPr>
          <w:tblHeader w:val="off"/>
        </w:trPr>
        <w:tc>
          <w:tcPr>
            <w:tcW w:type="dxa" w:w="4819"/>
            <w:tcMar>
              <w:top w:type="dxa" w:w="60"/>
              <w:left w:type="dxa" w:w="100"/>
              <w:bottom w:type="dxa" w:w="60"/>
              <w:right w:type="dxa" w:w="100"/>
            </w:tcMar>
          </w:tcPr>
          <w:p>
            <w:r>
              <w:rPr>
                <w:sz w:val="19"/>
                <w:szCs w:val="19"/>
              </w:rPr>
              <w:t xml:space="preserve">Conta ativa</w:t>
            </w:r>
          </w:p>
        </w:tc>
        <w:tc>
          <w:tcPr>
            <w:tcW w:type="dxa" w:w="4819"/>
            <w:tcMar>
              <w:top w:type="dxa" w:w="60"/>
              <w:left w:type="dxa" w:w="100"/>
              <w:bottom w:type="dxa" w:w="60"/>
              <w:right w:type="dxa" w:w="100"/>
            </w:tcMar>
          </w:tcPr>
          <w:p>
            <w:r>
              <w:rPr>
                <w:sz w:val="19"/>
                <w:szCs w:val="19"/>
              </w:rPr>
              <w:t xml:space="preserve">Enquanto a conta existir</w:t>
            </w:r>
          </w:p>
        </w:tc>
      </w:tr>
      <w:tr>
        <w:trPr>
          <w:tblHeader w:val="off"/>
        </w:trPr>
        <w:tc>
          <w:tcPr>
            <w:tcW w:type="dxa" w:w="4819"/>
            <w:tcMar>
              <w:top w:type="dxa" w:w="60"/>
              <w:left w:type="dxa" w:w="100"/>
              <w:bottom w:type="dxa" w:w="60"/>
              <w:right w:type="dxa" w:w="100"/>
            </w:tcMar>
          </w:tcPr>
          <w:p>
            <w:r>
              <w:rPr>
                <w:sz w:val="19"/>
                <w:szCs w:val="19"/>
              </w:rPr>
              <w:t xml:space="preserve">Reservas, pagamentos e documentos fiscais</w:t>
            </w:r>
          </w:p>
        </w:tc>
        <w:tc>
          <w:tcPr>
            <w:tcW w:type="dxa" w:w="4819"/>
            <w:tcMar>
              <w:top w:type="dxa" w:w="60"/>
              <w:left w:type="dxa" w:w="100"/>
              <w:bottom w:type="dxa" w:w="60"/>
              <w:right w:type="dxa" w:w="100"/>
            </w:tcMar>
          </w:tcPr>
          <w:p>
            <w:r>
              <w:rPr>
                <w:sz w:val="19"/>
                <w:szCs w:val="19"/>
              </w:rPr>
              <w:t xml:space="preserve">Prazo legal fiscal e contábil (no Brasil, em regra 5 anos; em outros países, o prazo local)</w:t>
            </w:r>
          </w:p>
        </w:tc>
      </w:tr>
      <w:tr>
        <w:trPr>
          <w:tblHeader w:val="off"/>
        </w:trPr>
        <w:tc>
          <w:tcPr>
            <w:tcW w:type="dxa" w:w="4819"/>
            <w:tcMar>
              <w:top w:type="dxa" w:w="60"/>
              <w:left w:type="dxa" w:w="100"/>
              <w:bottom w:type="dxa" w:w="60"/>
              <w:right w:type="dxa" w:w="100"/>
            </w:tcMar>
          </w:tcPr>
          <w:p>
            <w:r>
              <w:rPr>
                <w:sz w:val="19"/>
                <w:szCs w:val="19"/>
              </w:rPr>
              <w:t xml:space="preserve">Registros de acesso à aplicação</w:t>
            </w:r>
          </w:p>
        </w:tc>
        <w:tc>
          <w:tcPr>
            <w:tcW w:type="dxa" w:w="4819"/>
            <w:tcMar>
              <w:top w:type="dxa" w:w="60"/>
              <w:left w:type="dxa" w:w="100"/>
              <w:bottom w:type="dxa" w:w="60"/>
              <w:right w:type="dxa" w:w="100"/>
            </w:tcMar>
          </w:tcPr>
          <w:p>
            <w:r>
              <w:rPr>
                <w:sz w:val="19"/>
                <w:szCs w:val="19"/>
              </w:rPr>
              <w:t xml:space="preserve">Mínimo de 6 meses (Marco Civil da Internet), ou prazo local</w:t>
            </w:r>
          </w:p>
        </w:tc>
      </w:tr>
      <w:tr>
        <w:trPr>
          <w:tblHeader w:val="off"/>
        </w:trPr>
        <w:tc>
          <w:tcPr>
            <w:tcW w:type="dxa" w:w="4819"/>
            <w:tcMar>
              <w:top w:type="dxa" w:w="60"/>
              <w:left w:type="dxa" w:w="100"/>
              <w:bottom w:type="dxa" w:w="60"/>
              <w:right w:type="dxa" w:w="100"/>
            </w:tcMar>
          </w:tcPr>
          <w:p>
            <w:r>
              <w:rPr>
                <w:sz w:val="19"/>
                <w:szCs w:val="19"/>
              </w:rPr>
              <w:t xml:space="preserve">Incidentes, evidências e Advertências</w:t>
            </w:r>
          </w:p>
        </w:tc>
        <w:tc>
          <w:tcPr>
            <w:tcW w:type="dxa" w:w="4819"/>
            <w:tcMar>
              <w:top w:type="dxa" w:w="60"/>
              <w:left w:type="dxa" w:w="100"/>
              <w:bottom w:type="dxa" w:w="60"/>
              <w:right w:type="dxa" w:w="100"/>
            </w:tcMar>
          </w:tcPr>
          <w:p>
            <w:r>
              <w:rPr>
                <w:sz w:val="19"/>
                <w:szCs w:val="19"/>
              </w:rPr>
              <w:t xml:space="preserve">Até 5 anos após a Reserva ou o prazo prescricional aplicável</w:t>
            </w:r>
          </w:p>
        </w:tc>
      </w:tr>
      <w:tr>
        <w:trPr>
          <w:tblHeader w:val="off"/>
        </w:trPr>
        <w:tc>
          <w:tcPr>
            <w:tcW w:type="dxa" w:w="4819"/>
            <w:tcMar>
              <w:top w:type="dxa" w:w="60"/>
              <w:left w:type="dxa" w:w="100"/>
              <w:bottom w:type="dxa" w:w="60"/>
              <w:right w:type="dxa" w:w="100"/>
            </w:tcMar>
          </w:tcPr>
          <w:p>
            <w:r>
              <w:rPr>
                <w:sz w:val="19"/>
                <w:szCs w:val="19"/>
              </w:rPr>
              <w:t xml:space="preserve">Dados de Avalista que recusou ou não respondeu</w:t>
            </w:r>
          </w:p>
        </w:tc>
        <w:tc>
          <w:tcPr>
            <w:tcW w:type="dxa" w:w="4819"/>
            <w:tcMar>
              <w:top w:type="dxa" w:w="60"/>
              <w:left w:type="dxa" w:w="100"/>
              <w:bottom w:type="dxa" w:w="60"/>
              <w:right w:type="dxa" w:w="100"/>
            </w:tcMar>
          </w:tcPr>
          <w:p>
            <w:r>
              <w:rPr>
                <w:sz w:val="19"/>
                <w:szCs w:val="19"/>
              </w:rPr>
              <w:t xml:space="preserve">Até 90 dias</w:t>
            </w:r>
          </w:p>
        </w:tc>
      </w:tr>
      <w:tr>
        <w:trPr>
          <w:tblHeader w:val="off"/>
        </w:trPr>
        <w:tc>
          <w:tcPr>
            <w:tcW w:type="dxa" w:w="4819"/>
            <w:tcMar>
              <w:top w:type="dxa" w:w="60"/>
              <w:left w:type="dxa" w:w="100"/>
              <w:bottom w:type="dxa" w:w="60"/>
              <w:right w:type="dxa" w:w="100"/>
            </w:tcMar>
          </w:tcPr>
          <w:p>
            <w:r>
              <w:rPr>
                <w:sz w:val="19"/>
                <w:szCs w:val="19"/>
              </w:rPr>
              <w:t xml:space="preserve">Dados de Avalista que aceitou</w:t>
            </w:r>
          </w:p>
        </w:tc>
        <w:tc>
          <w:tcPr>
            <w:tcW w:type="dxa" w:w="4819"/>
            <w:tcMar>
              <w:top w:type="dxa" w:w="60"/>
              <w:left w:type="dxa" w:w="100"/>
              <w:bottom w:type="dxa" w:w="60"/>
              <w:right w:type="dxa" w:w="100"/>
            </w:tcMar>
          </w:tcPr>
          <w:p>
            <w:r>
              <w:rPr>
                <w:sz w:val="19"/>
                <w:szCs w:val="19"/>
              </w:rPr>
              <w:t xml:space="preserve">Prazo prescricional das obrigações garantidas</w:t>
            </w:r>
          </w:p>
        </w:tc>
      </w:tr>
      <w:tr>
        <w:trPr>
          <w:tblHeader w:val="off"/>
        </w:trPr>
        <w:tc>
          <w:tcPr>
            <w:tcW w:type="dxa" w:w="4819"/>
            <w:tcMar>
              <w:top w:type="dxa" w:w="60"/>
              <w:left w:type="dxa" w:w="100"/>
              <w:bottom w:type="dxa" w:w="60"/>
              <w:right w:type="dxa" w:w="100"/>
            </w:tcMar>
          </w:tcPr>
          <w:p>
            <w:r>
              <w:rPr>
                <w:sz w:val="19"/>
                <w:szCs w:val="19"/>
              </w:rPr>
              <w:t xml:space="preserve">Avaliações</w:t>
            </w:r>
          </w:p>
        </w:tc>
        <w:tc>
          <w:tcPr>
            <w:tcW w:type="dxa" w:w="4819"/>
            <w:tcMar>
              <w:top w:type="dxa" w:w="60"/>
              <w:left w:type="dxa" w:w="100"/>
              <w:bottom w:type="dxa" w:w="60"/>
              <w:right w:type="dxa" w:w="100"/>
            </w:tcMar>
          </w:tcPr>
          <w:p>
            <w:r>
              <w:rPr>
                <w:sz w:val="19"/>
                <w:szCs w:val="19"/>
              </w:rPr>
              <w:t xml:space="preserve">Enquanto o Anúncio ou a conta existir; anonimizadas após o encerramento</w:t>
            </w:r>
          </w:p>
        </w:tc>
      </w:tr>
      <w:tr>
        <w:trPr>
          <w:tblHeader w:val="off"/>
        </w:trPr>
        <w:tc>
          <w:tcPr>
            <w:tcW w:type="dxa" w:w="4819"/>
            <w:tcMar>
              <w:top w:type="dxa" w:w="60"/>
              <w:left w:type="dxa" w:w="100"/>
              <w:bottom w:type="dxa" w:w="60"/>
              <w:right w:type="dxa" w:w="100"/>
            </w:tcMar>
          </w:tcPr>
          <w:p>
            <w:r>
              <w:rPr>
                <w:sz w:val="19"/>
                <w:szCs w:val="19"/>
              </w:rPr>
              <w:t xml:space="preserve">Dados de contas excluídas por violação grave</w:t>
            </w:r>
          </w:p>
        </w:tc>
        <w:tc>
          <w:tcPr>
            <w:tcW w:type="dxa" w:w="4819"/>
            <w:tcMar>
              <w:top w:type="dxa" w:w="60"/>
              <w:left w:type="dxa" w:w="100"/>
              <w:bottom w:type="dxa" w:w="60"/>
              <w:right w:type="dxa" w:w="100"/>
            </w:tcMar>
          </w:tcPr>
          <w:p>
            <w:r>
              <w:rPr>
                <w:sz w:val="19"/>
                <w:szCs w:val="19"/>
              </w:rPr>
              <w:t xml:space="preserve">O mínimo necessário para impedir novo cadastro, pelo prazo legal permitido</w:t>
            </w:r>
          </w:p>
        </w:tc>
      </w:tr>
      <w:tr>
        <w:trPr>
          <w:tblHeader w:val="off"/>
        </w:trPr>
        <w:tc>
          <w:tcPr>
            <w:tcW w:type="dxa" w:w="4819"/>
            <w:tcMar>
              <w:top w:type="dxa" w:w="60"/>
              <w:left w:type="dxa" w:w="100"/>
              <w:bottom w:type="dxa" w:w="60"/>
              <w:right w:type="dxa" w:w="100"/>
            </w:tcMar>
          </w:tcPr>
          <w:p>
            <w:r>
              <w:rPr>
                <w:sz w:val="19"/>
                <w:szCs w:val="19"/>
              </w:rPr>
              <w:t xml:space="preserve">Arquivo (foto/PDF) do documento de registro profissional</w:t>
            </w:r>
          </w:p>
        </w:tc>
        <w:tc>
          <w:tcPr>
            <w:tcW w:type="dxa" w:w="4819"/>
            <w:tcMar>
              <w:top w:type="dxa" w:w="60"/>
              <w:left w:type="dxa" w:w="100"/>
              <w:bottom w:type="dxa" w:w="60"/>
              <w:right w:type="dxa" w:w="100"/>
            </w:tcMar>
          </w:tcPr>
          <w:p>
            <w:r>
              <w:rPr>
                <w:sz w:val="19"/>
                <w:szCs w:val="19"/>
              </w:rPr>
              <w:t xml:space="preserve">Até 90 dias após a decisão da verificação; depois é eliminado de forma definitiva</w:t>
            </w:r>
          </w:p>
        </w:tc>
      </w:tr>
      <w:tr>
        <w:trPr>
          <w:tblHeader w:val="off"/>
        </w:trPr>
        <w:tc>
          <w:tcPr>
            <w:tcW w:type="dxa" w:w="4819"/>
            <w:tcMar>
              <w:top w:type="dxa" w:w="60"/>
              <w:left w:type="dxa" w:w="100"/>
              <w:bottom w:type="dxa" w:w="60"/>
              <w:right w:type="dxa" w:w="100"/>
            </w:tcMar>
          </w:tcPr>
          <w:p>
            <w:r>
              <w:rPr>
                <w:sz w:val="19"/>
                <w:szCs w:val="19"/>
              </w:rPr>
              <w:t xml:space="preserve">Resultado da pré-triagem de registro profissional (dados informados, decisão e fundamentos) e registros de acesso ao documento</w:t>
            </w:r>
          </w:p>
        </w:tc>
        <w:tc>
          <w:tcPr>
            <w:tcW w:type="dxa" w:w="4819"/>
            <w:tcMar>
              <w:top w:type="dxa" w:w="60"/>
              <w:left w:type="dxa" w:w="100"/>
              <w:bottom w:type="dxa" w:w="60"/>
              <w:right w:type="dxa" w:w="100"/>
            </w:tcMar>
          </w:tcPr>
          <w:p>
            <w:r>
              <w:rPr>
                <w:sz w:val="19"/>
                <w:szCs w:val="19"/>
              </w:rPr>
              <w:t xml:space="preserve">Enquanto a conta existir e, após o encerramento, pelo prazo prescricional aplicável a eventuais responsabilidades</w:t>
            </w:r>
          </w:p>
        </w:tc>
      </w:tr>
      <w:tr>
        <w:trPr>
          <w:tblHeader w:val="off"/>
        </w:trPr>
        <w:tc>
          <w:tcPr>
            <w:tcW w:type="dxa" w:w="4819"/>
            <w:tcMar>
              <w:top w:type="dxa" w:w="60"/>
              <w:left w:type="dxa" w:w="100"/>
              <w:bottom w:type="dxa" w:w="60"/>
              <w:right w:type="dxa" w:w="100"/>
            </w:tcMar>
          </w:tcPr>
          <w:p>
            <w:r>
              <w:rPr>
                <w:sz w:val="19"/>
                <w:szCs w:val="19"/>
              </w:rPr>
              <w:t xml:space="preserve">Feedback do aplicativo</w:t>
            </w:r>
          </w:p>
        </w:tc>
        <w:tc>
          <w:tcPr>
            <w:tcW w:type="dxa" w:w="4819"/>
            <w:tcMar>
              <w:top w:type="dxa" w:w="60"/>
              <w:left w:type="dxa" w:w="100"/>
              <w:bottom w:type="dxa" w:w="60"/>
              <w:right w:type="dxa" w:w="100"/>
            </w:tcMar>
          </w:tcPr>
          <w:p>
            <w:r>
              <w:rPr>
                <w:sz w:val="19"/>
                <w:szCs w:val="19"/>
              </w:rPr>
              <w:t xml:space="preserve">Até 3 anos, ou prazo menor quando anonimizado</w:t>
            </w:r>
          </w:p>
        </w:tc>
      </w:tr>
    </w:tbl>
    <w:p/>
    <w:p>
      <w:pPr>
        <w:spacing w:after="120"/>
        <w:jc w:val="both"/>
      </w:pPr>
      <w:r>
        <w:t xml:space="preserve">6.1. Encerrados os prazos, os dados são eliminados ou anonimizados.</w:t>
      </w:r>
    </w:p>
    <w:p>
      <w:pPr>
        <w:pStyle w:val="Heading2"/>
      </w:pPr>
      <w:r>
        <w:t xml:space="preserve">7. Direitos do titular</w:t>
      </w:r>
    </w:p>
    <w:p>
      <w:pPr>
        <w:spacing w:after="120"/>
        <w:jc w:val="both"/>
      </w:pPr>
      <w:r>
        <w:t xml:space="preserve">7.1. O titular pode, nos termos da lei aplicável: confirmar a existência de tratamento; acessar seus dados; corrigir dados incompletos ou inexatos; solicitar anonimização, bloqueio ou eliminação de dados desnecessários; solicitar portabilidade; obter informação sobre compartilhamentos; revogar consentimento; opor-se a tratamentos baseados em legítimo interesse; solicitar revisão de decisões automatizadas; e apresentar reclamação à autoridade de proteção de dados (no Brasil, a ANPD; na União Europeia, a autoridade de controle do Estado-Membro; no Reino Unido, o ICO; entre outras).</w:t>
      </w:r>
    </w:p>
    <w:p>
      <w:pPr>
        <w:spacing w:after="120"/>
        <w:jc w:val="both"/>
      </w:pPr>
      <w:r>
        <w:t xml:space="preserve">7.2. Solicitações devem ser enviadas ao Encarregado de Dados (DPO) em </w:t>
      </w:r>
      <w:r>
        <w:rPr>
          <w:b/>
          <w:bCs/>
        </w:rPr>
        <w:t xml:space="preserve">info@wmundi.com</w:t>
      </w:r>
      <w:r>
        <w:t xml:space="preserve"> ou pela área de privacidade da conta. Respondemos no prazo legal (por exemplo, 15 dias na LGPD para a declaração completa; 1 mês no RGPD, prorrogável). Poderemos solicitar confirmação de identidade.</w:t>
      </w:r>
    </w:p>
    <w:p>
      <w:pPr>
        <w:spacing w:after="120"/>
        <w:jc w:val="both"/>
      </w:pPr>
      <w:r>
        <w:t xml:space="preserve">7.3. Alguns dados podem ser mantidos mesmo após pedido de eliminação, quando necessários ao cumprimento de obrigação legal, ao exercício de direitos em processos ou à prevenção de fraude.</w:t>
      </w:r>
    </w:p>
    <w:p>
      <w:pPr>
        <w:spacing w:after="120"/>
        <w:jc w:val="both"/>
      </w:pPr>
      <w:r>
        <w:t xml:space="preserve">7.4. Residentes da Califórnia (CCPA/CPRA) e de outros estados dos Estados Unidos com leis de privacidade abrangentes têm, adicionalmente, o direito de saber, excluir, corrigir e optar por não "vender" ou "compartilhar" dados; a Operadora não vende nem compartilha dados para publicidade comportamental entre contextos sem consentimento.</w:t>
      </w:r>
    </w:p>
    <w:p>
      <w:pPr>
        <w:pStyle w:val="Heading2"/>
      </w:pPr>
      <w:r>
        <w:t xml:space="preserve">8. Cookies</w:t>
      </w:r>
    </w:p>
    <w:p>
      <w:pPr>
        <w:spacing w:after="120"/>
        <w:jc w:val="both"/>
      </w:pPr>
      <w:r>
        <w:t xml:space="preserve">8.1. Utilizamos cookies e tecnologias semelhantes: (a) </w:t>
      </w:r>
      <w:r>
        <w:rPr>
          <w:b/>
          <w:bCs/>
        </w:rPr>
        <w:t xml:space="preserve">essenciais</w:t>
      </w:r>
      <w:r>
        <w:t xml:space="preserve">, para login, segurança, idioma e funcionamento da Reserva, que não dependem de consentimento; (b) </w:t>
      </w:r>
      <w:r>
        <w:rPr>
          <w:b/>
          <w:bCs/>
        </w:rPr>
        <w:t xml:space="preserve">de preferências</w:t>
      </w:r>
      <w:r>
        <w:t xml:space="preserve">; (c) </w:t>
      </w:r>
      <w:r>
        <w:rPr>
          <w:b/>
          <w:bCs/>
        </w:rPr>
        <w:t xml:space="preserve">analíticos</w:t>
      </w:r>
      <w:r>
        <w:t xml:space="preserve">; e (d) </w:t>
      </w:r>
      <w:r>
        <w:rPr>
          <w:b/>
          <w:bCs/>
        </w:rPr>
        <w:t xml:space="preserve">de marketing</w:t>
      </w:r>
      <w:r>
        <w:t xml:space="preserve">, estes três últimos somente com consentimento quando exigido por lei, gerenciável a qualquer tempo pelo painel de cookies.</w:t>
      </w:r>
    </w:p>
    <w:p>
      <w:pPr>
        <w:pStyle w:val="Heading2"/>
      </w:pPr>
      <w:r>
        <w:t xml:space="preserve">9. Dados de Clientes Finais nas avaliações</w:t>
      </w:r>
    </w:p>
    <w:p>
      <w:pPr>
        <w:spacing w:after="120"/>
        <w:jc w:val="both"/>
      </w:pPr>
      <w:r>
        <w:t xml:space="preserve">9.1. A ferramenta de avaliação por Clientes Finais é opcional, ativada pelo Locatário. O Cliente Final acessa por link de uso único, sem cadastro, e fornece somente notas sobre o Espaço (conforto, limpeza, acessibilidade, localização), comentário e apelido opcional.</w:t>
      </w:r>
    </w:p>
    <w:p>
      <w:pPr>
        <w:spacing w:after="120"/>
        <w:jc w:val="both"/>
      </w:pPr>
      <w:r>
        <w:t xml:space="preserve">9.2. A Plataforma </w:t>
      </w:r>
      <w:r>
        <w:rPr>
          <w:b/>
          <w:bCs/>
        </w:rPr>
        <w:t xml:space="preserve">não coleta</w:t>
      </w:r>
      <w:r>
        <w:t xml:space="preserve"> nome, contato ou dados de saúde do Cliente Final. O formulário alerta para não incluir dados que identifiquem o paciente ou o atendimento; conteúdos com esses dados são removidos. Dados técnicos mínimos (como IP) são tratados apenas para prevenção de abuso e mantidos pelo prazo de registros de acesso.</w:t>
      </w:r>
    </w:p>
    <w:p>
      <w:pPr>
        <w:pStyle w:val="Heading2"/>
      </w:pPr>
      <w:r>
        <w:t xml:space="preserve">10. Menores de idade</w:t>
      </w:r>
    </w:p>
    <w:p>
      <w:pPr>
        <w:spacing w:after="120"/>
        <w:jc w:val="both"/>
      </w:pPr>
      <w:r>
        <w:t xml:space="preserve">10.1. A Plataforma não se destina a menores da idade mínima prevista em cada país (18 anos; 21 anos nos Emirados Árabes Unidos). Não coletamos conscientemente dados de menores como Usuários. Contas identificadas como de menores são encerradas.</w:t>
      </w:r>
    </w:p>
    <w:p>
      <w:pPr>
        <w:spacing w:after="120"/>
        <w:jc w:val="both"/>
      </w:pPr>
      <w:r>
        <w:t xml:space="preserve">10.2. Clientes Finais menores de idade não devem preencher avaliações sem a participação do responsável legal.</w:t>
      </w:r>
    </w:p>
    <w:p>
      <w:pPr>
        <w:pStyle w:val="Heading2"/>
      </w:pPr>
      <w:r>
        <w:t xml:space="preserve">11. Segurança</w:t>
      </w:r>
    </w:p>
    <w:p>
      <w:pPr>
        <w:spacing w:after="120"/>
        <w:jc w:val="both"/>
      </w:pPr>
      <w:r>
        <w:t xml:space="preserve">11.1. Adotamos medidas técnicas e administrativas compatíveis com o risco, incluindo: criptografia em trânsito (TLS); criptografia em repouso (AES-256) dos documentos de registro profissional, com chave guardada fora do banco de dados; registro de cada acesso a esses documentos (quem, quando e de onde); eliminação automática do arquivo após o prazo de retenção; armazenamento de senhas com </w:t>
      </w:r>
      <w:r>
        <w:rPr>
          <w:i/>
          <w:iCs/>
        </w:rPr>
        <w:t xml:space="preserve">hash</w:t>
      </w:r>
      <w:r>
        <w:t xml:space="preserve">; coleta e tokenização dos dados de cartão diretamente pelo Mercado Pago ou pela Stripe, certificados PCI DSS (os dados de cartão nunca transitam pelos servidores da Plataforma, que recebe apenas um </w:t>
      </w:r>
      <w:r>
        <w:rPr>
          <w:i/>
          <w:iCs/>
        </w:rPr>
        <w:t xml:space="preserve">token</w:t>
      </w:r>
      <w:r>
        <w:t xml:space="preserve">); acesso restrito aos documentos de registro profissional; controle de acesso por perfil; registros de auditoria; revelação do endereço completo do Espaço somente após confirmação; e treinamento de equipe.</w:t>
      </w:r>
    </w:p>
    <w:p>
      <w:pPr>
        <w:spacing w:after="120"/>
        <w:jc w:val="both"/>
      </w:pPr>
      <w:r>
        <w:t xml:space="preserve">11.2. Em caso de incidente de segurança que possa acarretar risco ou dano relevante, comunicaremos a autoridade competente e os titulares nos prazos legais (por exemplo, em até 3 dias úteis à ANPD e aos titulares no Brasil, conforme a Resolução CD/ANPD nº 15/2024, e em até 72 horas à autoridade no RGPD).</w:t>
      </w:r>
    </w:p>
    <w:p>
      <w:pPr>
        <w:pStyle w:val="Heading2"/>
      </w:pPr>
      <w:r>
        <w:t xml:space="preserve">12. Leis aplicáveis por país</w:t>
      </w:r>
    </w:p>
    <w:p>
      <w:pPr>
        <w:spacing w:after="120"/>
        <w:jc w:val="both"/>
      </w:pPr>
      <w:r>
        <w:t xml:space="preserve">12.1. Além da LGPD (Brasil), aplicamos as leis de proteção de dados do país do titular, conforme indicado em Regras por País, entre elas: Ley 25.326 (Argentina); Ley 19.628 e Ley 21.719, esta em vigor a partir de 01/12/2026 (Chile); Ley 1581 de 2012 (Colômbia); Ley Orgánica de Protección de Datos Personales (Equador); Ley 29733 e seu Reglamento de 2024 (Peru); Ley 18.331 (Uruguai); Ley 81 de 2019 (Panamá); Ley 8968 (Costa Rica); Ley 787 (Nicarágua); Ley de Protección de Datos Personales de 2024 (El Salvador); Data Protection Act 2021 (Belize); Ley Federal de Protección de Datos Personales en Posesión de los Particulares de 2025 (México); leis estaduais como CCPA/CPRA (Estados Unidos) — a HIPAA aplica-se aos prestadores de saúde e seus </w:t>
      </w:r>
      <w:r>
        <w:rPr>
          <w:i/>
          <w:iCs/>
        </w:rPr>
        <w:t xml:space="preserve">business associates</w:t>
      </w:r>
      <w:r>
        <w:t xml:space="preserve">, e não à Plataforma, que não trata dados clínicos; PIPEDA, Québec Law 25 e as leis de Alberta e da Colúmbia Britânica (Canadá); RGPD e leis nacionais complementares (Portugal — Lei 58/2019; Espanha — LOPDGDD; Itália — Codice Privacy; França — Loi Informatique et Libertés; Alemanha — BDSG); UK GDPR, Data Protection Act 2018 e Data (Use and Access) Act 2025 (Reino Unido); PDPL, DIFC Data Protection Law e ADGM Data Protection Regulations (Emirados Árabes Unidos); Protection of Privacy Law e Emenda 13 (Israel); PIPL, Data Security Law e Cybersecurity Law (China); APPI (Japão); Digital Personal Data Protection Act 2023 e DPDP Rules 2025 (Índia); Privacy Act 1988, com as alterações de 2024 (Austrália); e as normas aplicáveis na Bolívia, no Paraguai, na Guatemala e em Honduras.</w:t>
      </w:r>
    </w:p>
    <w:p>
      <w:pPr>
        <w:pStyle w:val="Heading2"/>
      </w:pPr>
      <w:r>
        <w:t xml:space="preserve">13. Alterações</w:t>
      </w:r>
    </w:p>
    <w:p>
      <w:pPr>
        <w:spacing w:after="120"/>
        <w:jc w:val="both"/>
      </w:pPr>
      <w:r>
        <w:t xml:space="preserve">13.1. Esta Política pode ser atualizada. Alterações relevantes serão comunicadas com antecedência por e-mail e na Plataforma, e a versão vigente estará sempre disponível.</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SpaceHour — minuta para revisão jurídica · página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0F766E"/>
      <w:sz w:val="32"/>
      <w:szCs w:val="32"/>
    </w:rPr>
  </w:style>
  <w:style w:type="paragraph" w:styleId="Heading2">
    <w:name w:val="Heading 2"/>
    <w:basedOn w:val="Normal"/>
    <w:next w:val="Normal"/>
    <w:qFormat/>
    <w:pPr>
      <w:spacing w:after="100" w:before="220"/>
      <w:outlineLvl w:val="1"/>
    </w:pPr>
    <w:rPr>
      <w:b/>
      <w:bCs/>
      <w:sz w:val="25"/>
      <w:szCs w:val="25"/>
    </w:rPr>
  </w:style>
  <w:style w:type="paragraph" w:styleId="Heading3">
    <w:name w:val="Heading 3"/>
    <w:basedOn w:val="Normal"/>
    <w:next w:val="Normal"/>
    <w:qFormat/>
    <w:pPr>
      <w:spacing w:after="80" w:before="160"/>
      <w:outlineLvl w:val="2"/>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uhsqsedowbypukfwhvk51" Type="http://schemas.openxmlformats.org/officeDocument/2006/relationships/hyperlink" Target="https://space-hour.com" TargetMode="External"/><Relationship Id="rIdp_ppxdarw7mtqhocztpby" Type="http://schemas.openxmlformats.org/officeDocument/2006/relationships/hyperlink" Target="https://space-hour.com/regra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SpaceHour — Termos de Uso e Políticas (minuta)</dc:title>
  <dc:creator>SpaceHour</dc:creator>
  <cp:lastModifiedBy>Un-named</cp:lastModifiedBy>
  <cp:revision>1</cp:revision>
  <dcterms:created xsi:type="dcterms:W3CDTF">2026-09-28T20:52:43.754Z</dcterms:created>
  <dcterms:modified xsi:type="dcterms:W3CDTF">2026-09-28T20:52:43.754Z</dcterms:modified>
</cp:coreProperties>
</file>

<file path=docProps/custom.xml><?xml version="1.0" encoding="utf-8"?>
<Properties xmlns="http://schemas.openxmlformats.org/officeDocument/2006/custom-properties" xmlns:vt="http://schemas.openxmlformats.org/officeDocument/2006/docPropsVTypes"/>
</file>