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57A6E"/>
          <w:sz w:val="18"/>
          <w:szCs w:val="18"/>
        </w:rPr>
        <w:t xml:space="preserve">PARA A DRA. ROBERTA · REVISÃO JURÍDICA</w:t>
      </w:r>
    </w:p>
    <w:p>
      <w:pPr>
        <w:pStyle w:val="Title"/>
      </w:pPr>
      <w:r>
        <w:rPr>
          <w:color w:val="12233A"/>
        </w:rPr>
        <w:t xml:space="preserve">Align</w:t>
      </w:r>
      <w:r>
        <w:rPr>
          <w:color w:val="157A6E"/>
        </w:rPr>
        <w:t xml:space="preserve">System</w:t>
      </w:r>
      <w:r>
        <w:rPr>
          <w:color w:val="12233A"/>
        </w:rPr>
        <w:t xml:space="preserve">: como o sistema funciona</w:t>
      </w:r>
    </w:p>
    <w:p>
      <w:pPr>
        <w:jc w:val="both"/>
      </w:pPr>
      <w:r>
        <w:t xml:space="preserve">A AlignSystem é uma rede de ortodontia com alinhadores transparentes. A empresa capta e faz a triagem dos pacientes; dentistas parceiros credenciados fazem o atendimento clínico. Este documento mostra o sistema no ar e o momento em que cada contrato entra no processo. Os textos completos dos dois contratos seguem em arquivos Word separados, com as alterações e os pontos para sua análise na primeira página de cada um.</w:t>
      </w:r>
    </w:p>
    <w:p>
      <w:pPr>
        <w:pStyle w:val="Heading1"/>
      </w:pPr>
      <w:r>
        <w:t xml:space="preserve">Veja no 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Site do paciente: </w:t>
      </w:r>
      <w:hyperlink w:history="1" r:id="rIdxqoa7r2c7l9fbhb4y42db">
        <w:r>
          <w:rPr>
            <w:rStyle w:val="Hyperlink"/>
          </w:rPr>
          <w:t xml:space="preserve">https://alignsystem.vercel.app</w:t>
        </w:r>
      </w:hyperlink>
      <w:r>
        <w:t xml:space="preserve"> — captação e início da pré-avaliação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Site do dentista parceiro: </w:t>
      </w:r>
      <w:hyperlink w:history="1" r:id="rIdby0pjvkfsmrlmw-f7_3zd">
        <w:r>
          <w:rPr>
            <w:rStyle w:val="Hyperlink"/>
          </w:rPr>
          <w:t xml:space="preserve">https://alignsystem.vercel.app/parceiros</w:t>
        </w:r>
      </w:hyperlink>
      <w:r>
        <w:t xml:space="preserve"> — cadastro para credenciamento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Guia das 7 fotos: </w:t>
      </w:r>
      <w:hyperlink w:history="1" r:id="rId338u-z3uv9cv_q8qutatj">
        <w:r>
          <w:rPr>
            <w:rStyle w:val="Hyperlink"/>
          </w:rPr>
          <w:t xml:space="preserve">https://alignsystem.vercel.app/guia-fotos</w:t>
        </w:r>
      </w:hyperlink>
      <w:r>
        <w:t xml:space="preserve"> — orientação ao paciente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Política de privacidade: </w:t>
      </w:r>
      <w:hyperlink w:history="1" r:id="rId1xxakvl5w5sdwmgqk88le">
        <w:r>
          <w:rPr>
            <w:rStyle w:val="Hyperlink"/>
          </w:rPr>
          <w:t xml:space="preserve">https://alignsystem.vercel.app/privacidade</w:t>
        </w:r>
      </w:hyperlink>
      <w:r>
        <w:t xml:space="preserve"> — texto atual (LGPD)</w:t>
      </w:r>
    </w:p>
    <w:p>
      <w:pPr>
        <w:jc w:val="both"/>
      </w:pPr>
      <w:r>
        <w:rPr>
          <w:i/>
          <w:iCs/>
          <w:color w:val="555555"/>
        </w:rPr>
        <w:t xml:space="preserve">O endereço é provisório até o domínio alignsystem.com.br ser ligado. O portal do paciente, os contratos e o painel exigem link pessoal ou login, por isso aparecem abaixo em capturas de tela com dados fictícios.</w:t>
      </w:r>
    </w:p>
    <w:p>
      <w:pPr>
        <w:pStyle w:val="Heading1"/>
      </w:pPr>
      <w:r>
        <w:t xml:space="preserve">Onde cada contrato entra</w:t>
      </w:r>
    </w:p>
    <w:p>
      <w:pPr>
        <w:pStyle w:val="Heading2"/>
      </w:pPr>
      <w:r>
        <w:t xml:space="preserve">Paciente</w:t>
      </w:r>
    </w:p>
    <w:p>
      <w:pPr>
        <w:pStyle w:val="ListParagraph"/>
        <w:numPr>
          <w:ilvl w:val="0"/>
          <w:numId w:val="3"/>
        </w:numPr>
      </w:pPr>
      <w:r>
        <w:t xml:space="preserve">Preenche o formulário no site e autoriza o contato e o uso dos dados (LGPD).</w:t>
      </w:r>
    </w:p>
    <w:p>
      <w:pPr>
        <w:pStyle w:val="ListParagraph"/>
        <w:numPr>
          <w:ilvl w:val="0"/>
          <w:numId w:val="3"/>
        </w:numPr>
      </w:pPr>
      <w:r>
        <w:t xml:space="preserve">Recebe um link pessoal e envia 7 fotos do sorriso.</w:t>
      </w:r>
    </w:p>
    <w:p>
      <w:pPr>
        <w:pStyle w:val="ListParagraph"/>
        <w:numPr>
          <w:ilvl w:val="0"/>
          <w:numId w:val="3"/>
        </w:numPr>
      </w:pPr>
      <w:r>
        <w:t xml:space="preserve">A equipe publica um parecer orientativo nesse link.</w:t>
      </w:r>
    </w:p>
    <w:p>
      <w:pPr>
        <w:pStyle w:val="ListParagraph"/>
        <w:numPr>
          <w:ilvl w:val="0"/>
          <w:numId w:val="3"/>
        </w:numPr>
      </w:pPr>
      <w:r>
        <w:t xml:space="preserve">Pode pedir uma teleorientação por vídeo.</w:t>
      </w:r>
    </w:p>
    <w:p>
      <w:pPr>
        <w:pStyle w:val="ListParagraph"/>
        <w:numPr>
          <w:ilvl w:val="0"/>
          <w:numId w:val="3"/>
        </w:numPr>
      </w:pPr>
      <w:r>
        <w:t xml:space="preserve">Faz a documentação presencial com o dentista parceiro.</w:t>
      </w:r>
    </w:p>
    <w:p>
      <w:pPr>
        <w:pStyle w:val="ListParagraph"/>
        <w:numPr>
          <w:ilvl w:val="0"/>
          <w:numId w:val="3"/>
        </w:numPr>
      </w:pPr>
      <w:r>
        <w:t xml:space="preserve">Recebe o contrato de tratamento e aceita eletronicamente.</w:t>
      </w:r>
      <w:r>
        <w:t xml:space="preserve">  </w:t>
      </w:r>
      <w:r>
        <w:rPr>
          <w:b/>
          <w:bCs/>
          <w:sz w:val="18"/>
          <w:szCs w:val="18"/>
          <w:shd w:fill="F5E9D3" w:color="auto" w:val="clear"/>
        </w:rPr>
        <w:t xml:space="preserve"> Contrato do paciente </w:t>
      </w:r>
    </w:p>
    <w:p>
      <w:pPr>
        <w:pStyle w:val="ListParagraph"/>
        <w:numPr>
          <w:ilvl w:val="0"/>
          <w:numId w:val="3"/>
        </w:numPr>
      </w:pPr>
      <w:r>
        <w:t xml:space="preserve">Paga pela plataforma de pagamentos (entrada no cartão e mensalidades).</w:t>
      </w:r>
    </w:p>
    <w:p>
      <w:pPr>
        <w:pStyle w:val="Heading2"/>
      </w:pPr>
      <w:r>
        <w:t xml:space="preserve">Dentista parceiro</w:t>
      </w:r>
    </w:p>
    <w:p>
      <w:pPr>
        <w:pStyle w:val="ListParagraph"/>
        <w:numPr>
          <w:ilvl w:val="0"/>
          <w:numId w:val="4"/>
        </w:numPr>
      </w:pPr>
      <w:r>
        <w:t xml:space="preserve">Preenche o cadastro com o CRO.</w:t>
      </w:r>
    </w:p>
    <w:p>
      <w:pPr>
        <w:pStyle w:val="ListParagraph"/>
        <w:numPr>
          <w:ilvl w:val="0"/>
          <w:numId w:val="4"/>
        </w:numPr>
      </w:pPr>
      <w:r>
        <w:t xml:space="preserve">A equipe confere o registro e aprova o credenciamento.</w:t>
      </w:r>
    </w:p>
    <w:p>
      <w:pPr>
        <w:pStyle w:val="ListParagraph"/>
        <w:numPr>
          <w:ilvl w:val="0"/>
          <w:numId w:val="4"/>
        </w:numPr>
      </w:pPr>
      <w:r>
        <w:t xml:space="preserve">Recebe o Termo de Adesão e aceita eletronicamente.</w:t>
      </w:r>
      <w:r>
        <w:t xml:space="preserve">  </w:t>
      </w:r>
      <w:r>
        <w:rPr>
          <w:b/>
          <w:bCs/>
          <w:sz w:val="18"/>
          <w:szCs w:val="18"/>
          <w:shd w:fill="F5E9D3" w:color="auto" w:val="clear"/>
        </w:rPr>
        <w:t xml:space="preserve"> Termo de Adesão </w:t>
      </w:r>
    </w:p>
    <w:p>
      <w:pPr>
        <w:pStyle w:val="ListParagraph"/>
        <w:numPr>
          <w:ilvl w:val="0"/>
          <w:numId w:val="4"/>
        </w:numPr>
      </w:pPr>
      <w:r>
        <w:t xml:space="preserve">Atende os casos direcionados e registra cada atendimento com fotos.</w:t>
      </w:r>
    </w:p>
    <w:p>
      <w:pPr>
        <w:pStyle w:val="ListParagraph"/>
        <w:numPr>
          <w:ilvl w:val="0"/>
          <w:numId w:val="4"/>
        </w:numPr>
      </w:pPr>
      <w:r>
        <w:t xml:space="preserve">Após a validação da equipe, recebe o repasse direto na conta dele (divisão automática do pagamento).</w:t>
      </w:r>
    </w:p>
    <w:p>
      <w:pPr>
        <w:pStyle w:val="Heading1"/>
      </w:pPr>
      <w:r>
        <w:t xml:space="preserve">O sistema por dentro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landing" descr="Não divulga preços, gratuidade nem formas de pagamento; no lugar, informa que valores são passados apenas em contato individual, por norma ética." title="Site do pac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  <w:bCs/>
          <w:sz w:val="20"/>
          <w:szCs w:val="20"/>
        </w:rPr>
        <w:t xml:space="preserve">Site do paciente. </w:t>
      </w:r>
      <w:r>
        <w:rPr>
          <w:color w:val="555555"/>
          <w:sz w:val="20"/>
          <w:szCs w:val="20"/>
        </w:rPr>
        <w:t xml:space="preserve">Não divulga preços, gratuidade nem formas de pagamento; no lugar, informa que valores são passados apenas em contato individual, por norma ética.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4572000" cy="6353175"/>
            <wp:effectExtent t="0" r="0" b="0" l="0"/>
            <wp:docPr id="2" name="portal" descr="Envio das fotos, parecer, teleorientação, contrato e pagamentos no mesmo lugar." title="Link pessoal do pac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  <w:bCs/>
          <w:sz w:val="20"/>
          <w:szCs w:val="20"/>
        </w:rPr>
        <w:t xml:space="preserve">Link pessoal do paciente. </w:t>
      </w:r>
      <w:r>
        <w:rPr>
          <w:color w:val="555555"/>
          <w:sz w:val="20"/>
          <w:szCs w:val="20"/>
        </w:rPr>
        <w:t xml:space="preserve">Envio das fotos, parecer, teleorientação, contrato e pagamentos no mesmo lugar.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5114925"/>
            <wp:effectExtent t="0" r="0" b="0" l="0"/>
            <wp:docPr id="3" name="painel" descr="Parecer, dados para o contrato, dentista responsável, fotos, agenda e cobranças de cada caso." title="Painel da equi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  <w:bCs/>
          <w:sz w:val="20"/>
          <w:szCs w:val="20"/>
        </w:rPr>
        <w:t xml:space="preserve">Painel da equipe. </w:t>
      </w:r>
      <w:r>
        <w:rPr>
          <w:color w:val="555555"/>
          <w:sz w:val="20"/>
          <w:szCs w:val="20"/>
        </w:rPr>
        <w:t xml:space="preserve">Parecer, dados para o contrato, dentista responsável, fotos, agenda e cobranças de cada caso.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4953000" cy="4953000"/>
            <wp:effectExtent t="0" r="0" b="0" l="0"/>
            <wp:docPr id="4" name="contrato" descr="Preenchido com os dados do caso; enquanto a revisão não termina, exibe o aviso de minuta." title="Contrato ger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  <w:bCs/>
          <w:sz w:val="20"/>
          <w:szCs w:val="20"/>
        </w:rPr>
        <w:t xml:space="preserve">Contrato gerado. </w:t>
      </w:r>
      <w:r>
        <w:rPr>
          <w:color w:val="555555"/>
          <w:sz w:val="20"/>
          <w:szCs w:val="20"/>
        </w:rPr>
        <w:t xml:space="preserve">Preenchido com os dados do caso; enquanto a revisão não termina, exibe o aviso de minuta.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4953000" cy="3409950"/>
            <wp:effectExtent t="0" r="0" b="0" l="0"/>
            <wp:docPr id="5" name="aceite" descr="O paciente confirma nome e CPF e marca a concordância." title="Aceite eletrôn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b/>
          <w:bCs/>
          <w:sz w:val="20"/>
          <w:szCs w:val="20"/>
        </w:rPr>
        <w:t xml:space="preserve">Aceite eletrônico. </w:t>
      </w:r>
      <w:r>
        <w:rPr>
          <w:color w:val="555555"/>
          <w:sz w:val="20"/>
          <w:szCs w:val="20"/>
        </w:rPr>
        <w:t xml:space="preserve">O paciente confirma nome e CPF e marca a concordância.</w:t>
      </w:r>
    </w:p>
    <w:p>
      <w:pPr>
        <w:pStyle w:val="Heading1"/>
      </w:pPr>
      <w:r>
        <w:t xml:space="preserve">O que fica registrado no aceite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>
        <w:tc>
          <w:tcPr>
            <w:tcW w:type="dxa" w:w="220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shd w:fill="F1EA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Signatário</w:t>
            </w:r>
          </w:p>
        </w:tc>
        <w:tc>
          <w:tcPr>
            <w:tcW w:type="dxa" w:w="687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Nome completo digitado e CPF (ou CNPJ, no caso do dentista), conferido com o cadastro</w:t>
            </w:r>
          </w:p>
        </w:tc>
      </w:tr>
      <w:tr>
        <w:tc>
          <w:tcPr>
            <w:tcW w:type="dxa" w:w="220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shd w:fill="F1EA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687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Data e hora do aceite</w:t>
            </w:r>
          </w:p>
        </w:tc>
      </w:tr>
      <w:tr>
        <w:tc>
          <w:tcPr>
            <w:tcW w:type="dxa" w:w="220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shd w:fill="F1EA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Origem</w:t>
            </w:r>
          </w:p>
        </w:tc>
        <w:tc>
          <w:tcPr>
            <w:tcW w:type="dxa" w:w="687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Endereço IP e navegador usados</w:t>
            </w:r>
          </w:p>
        </w:tc>
      </w:tr>
      <w:tr>
        <w:tc>
          <w:tcPr>
            <w:tcW w:type="dxa" w:w="220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shd w:fill="F1EA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Integridade</w:t>
            </w:r>
          </w:p>
        </w:tc>
        <w:tc>
          <w:tcPr>
            <w:tcW w:type="dxa" w:w="687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Código SHA-256 do texto aceito; o texto fica guardado e não pode ser alterado depois</w:t>
            </w:r>
          </w:p>
        </w:tc>
      </w:tr>
      <w:tr>
        <w:tc>
          <w:tcPr>
            <w:tcW w:type="dxa" w:w="220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shd w:fill="F1EA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Base citada</w:t>
            </w:r>
          </w:p>
        </w:tc>
        <w:tc>
          <w:tcPr>
            <w:tcW w:type="dxa" w:w="6870"/>
            <w:tcBorders>
              <w:top w:val="single" w:color="E1D8C5" w:sz="4"/>
              <w:left w:val="single" w:color="E1D8C5" w:sz="4"/>
              <w:bottom w:val="single" w:color="E1D8C5" w:sz="4"/>
              <w:right w:val="single" w:color="E1D8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Art. 10, § 2º, da MP 2.200-2/2001 e art. 107 do Código Civil</w:t>
            </w:r>
          </w:p>
        </w:tc>
      </w:tr>
    </w:tbl>
    <w:p>
      <w:pPr>
        <w:pStyle w:val="Heading1"/>
      </w:pPr>
      <w:r>
        <w:t xml:space="preserve">Pontos para sua análise</w:t>
      </w:r>
    </w:p>
    <w:p>
      <w:pPr>
        <w:pStyle w:val="ListParagraph"/>
        <w:numPr>
          <w:ilvl w:val="0"/>
          <w:numId w:val="2"/>
        </w:numPr>
      </w:pPr>
      <w:r>
        <w:t xml:space="preserve">Se o aceite eletrônico simples (sem certificado ICP-Brasil) é suficiente, ou se convém exigir um código de confirmação por WhatsApp ou e-mail.</w:t>
      </w:r>
    </w:p>
    <w:p>
      <w:pPr>
        <w:pStyle w:val="ListParagraph"/>
        <w:numPr>
          <w:ilvl w:val="0"/>
          <w:numId w:val="2"/>
        </w:numPr>
      </w:pPr>
      <w:r>
        <w:t xml:space="preserve">Pacientes menores de 18 anos e a participação do responsável legal.</w:t>
      </w:r>
    </w:p>
    <w:p>
      <w:pPr>
        <w:pStyle w:val="ListParagraph"/>
        <w:numPr>
          <w:ilvl w:val="0"/>
          <w:numId w:val="2"/>
        </w:numPr>
      </w:pPr>
      <w:r>
        <w:t xml:space="preserve">Responsabilidade perante o paciente entre a AlignSystem e o dentista parceiro, e se o dentista deve assinar o contrato do paciente.</w:t>
      </w:r>
    </w:p>
    <w:p>
      <w:pPr>
        <w:pStyle w:val="ListParagraph"/>
        <w:numPr>
          <w:ilvl w:val="0"/>
          <w:numId w:val="2"/>
        </w:numPr>
      </w:pPr>
      <w:r>
        <w:t xml:space="preserve">Enquadramento do modelo como parceria, e não franquia, vínculo ou sociedade.</w:t>
      </w:r>
    </w:p>
    <w:p>
      <w:pPr>
        <w:pStyle w:val="ListParagraph"/>
        <w:numPr>
          <w:ilvl w:val="0"/>
          <w:numId w:val="2"/>
        </w:numPr>
      </w:pPr>
      <w:r>
        <w:t xml:space="preserve">Multa rescisória e cláusula de não desvio de pacientes no Termo de Adesão.</w:t>
      </w:r>
    </w:p>
    <w:p>
      <w:pPr>
        <w:pStyle w:val="ListParagraph"/>
        <w:numPr>
          <w:ilvl w:val="0"/>
          <w:numId w:val="2"/>
        </w:numPr>
      </w:pPr>
      <w:r>
        <w:t xml:space="preserve">Tratamento de fotos e dados de saúde (LGPD) e o consentimento coletado no site.</w:t>
      </w:r>
    </w:p>
    <w:p>
      <w:pPr>
        <w:pStyle w:val="ListParagraph"/>
        <w:numPr>
          <w:ilvl w:val="0"/>
          <w:numId w:val="2"/>
        </w:numPr>
      </w:pPr>
      <w:r>
        <w:t xml:space="preserve">Normas do CFO sobre teleorientação e pré-avaliação por fotos, e o programa de cashback por indicação.</w:t>
      </w:r>
    </w:p>
    <w:p>
      <w:pPr>
        <w:spacing w:before="160"/>
        <w:jc w:val="both"/>
      </w:pPr>
      <w:r>
        <w:t xml:space="preserve">Os detalhes de cada ponto e as alterações em relação às minutas anteriores estão na primeira página dos arquivos dos contratos.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AlignSystem · apresentação para revisão jurídica · telas com dados fictícios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Georgia" w:cs="Georgia" w:eastAsia="Georgia" w:hAnsi="Georgia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Georgia" w:cs="Georgia" w:eastAsia="Georgia" w:hAnsi="Georgia"/>
      <w:b/>
      <w:bCs/>
      <w:color w:val="1223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157A6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xqoa7r2c7l9fbhb4y42db" Type="http://schemas.openxmlformats.org/officeDocument/2006/relationships/hyperlink" Target="https://alignsystem.vercel.app" TargetMode="External"/><Relationship Id="rIdby0pjvkfsmrlmw-f7_3zd" Type="http://schemas.openxmlformats.org/officeDocument/2006/relationships/hyperlink" Target="https://alignsystem.vercel.app/parceiros" TargetMode="External"/><Relationship Id="rId338u-z3uv9cv_q8qutatj" Type="http://schemas.openxmlformats.org/officeDocument/2006/relationships/hyperlink" Target="https://alignsystem.vercel.app/guia-fotos" TargetMode="External"/><Relationship Id="rId1xxakvl5w5sdwmgqk88le" Type="http://schemas.openxmlformats.org/officeDocument/2006/relationships/hyperlink" Target="https://alignsystem.vercel.app/privacidade" TargetMode="External"/><Relationship Id="rId8" Type="http://schemas.openxmlformats.org/officeDocument/2006/relationships/image" Target="media/e2414faccbe8d83d8d0203c8e010f52165b23c3b.jpg"/><Relationship Id="rId9" Type="http://schemas.openxmlformats.org/officeDocument/2006/relationships/image" Target="media/698fff9147647cf6dce00412b36de3a400d93388.jpg"/><Relationship Id="rId10" Type="http://schemas.openxmlformats.org/officeDocument/2006/relationships/image" Target="media/20d4bfe6fb9d6546698a1c7c4941ff7b2fd02faf.jpg"/><Relationship Id="rId11" Type="http://schemas.openxmlformats.org/officeDocument/2006/relationships/image" Target="media/5c047bd3c09ebfb8e794ff68c773b0ee87571a97.jpg"/><Relationship Id="rId12" Type="http://schemas.openxmlformats.org/officeDocument/2006/relationships/image" Target="media/8940df8fc34dd9ae559587817b333f56b7705a6c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AlignSystem — apresentação para revisão jurídica</dc:title>
  <dc:creator>AlignSystem</dc:creator>
  <cp:lastModifiedBy>Un-named</cp:lastModifiedBy>
  <cp:revision>1</cp:revision>
  <dcterms:created xsi:type="dcterms:W3CDTF">2026-09-28T21:09:48.820Z</dcterms:created>
  <dcterms:modified xsi:type="dcterms:W3CDTF">2026-09-28T21:09:48.820Z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