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2233A"/>
          <w:sz w:val="28"/>
          <w:szCs w:val="28"/>
        </w:rPr>
        <w:t xml:space="preserve">AlignSystem</w:t>
      </w:r>
    </w:p>
    <w:p>
      <w:pPr>
        <w:spacing w:after="120"/>
        <w:jc w:val="center"/>
      </w:pPr>
      <w:r>
        <w:rPr>
          <w:b/>
          <w:bCs/>
          <w:color w:val="B3261E"/>
        </w:rPr>
        <w:t xml:space="preserve">MINUTA PARA REVISÃO JURÍDICA — versão final de 02/10/2026</w:t>
      </w:r>
    </w:p>
    <w:p>
      <w:pPr>
        <w:pBdr>
          <w:bottom w:val="single" w:color="157A6E" w:sz="6" w:space="4"/>
        </w:pBdr>
      </w:pPr>
    </w:p>
    <w:p>
      <w:pPr>
        <w:pStyle w:val="Heading1"/>
      </w:pPr>
      <w:r>
        <w:t xml:space="preserve">Nota para a revisão</w:t>
      </w:r>
    </w:p>
    <w:p>
      <w:pPr>
        <w:jc w:val="both"/>
      </w:pPr>
      <w:r>
        <w:t xml:space="preserve">Dra. Roberta, este é o contrato de adesão do dentista com o Instituto Ravel de Ensino Superior Ltda (AlignSystem). Ele cobre os dois modelos: parceiro (30% do valor pago pelo paciente, por split) e rede (pagamento por consulta).</w:t>
      </w:r>
    </w:p>
    <w:p>
      <w:pPr>
        <w:jc w:val="both"/>
      </w:pPr>
      <w:r>
        <w:t xml:space="preserve">Ele parte da versão que a senhora aprovou. Abaixo, tudo o que mudou desde então.</w:t>
      </w:r>
    </w:p>
    <w:p>
      <w:pPr>
        <w:pStyle w:val="Heading2"/>
      </w:pPr>
      <w:r>
        <w:t xml:space="preserve">O que mudou em relação à versão que a senhora aprovou</w:t>
      </w:r>
    </w:p>
    <w:p>
      <w:pPr>
        <w:pStyle w:val="ListParagraph"/>
        <w:numPr>
          <w:ilvl w:val="0"/>
          <w:numId w:val="2"/>
        </w:numPr>
      </w:pPr>
      <w:r>
        <w:t xml:space="preserve">Cláusula 6.1 (nova): cada caso é identificado como modelo parceiro ou modelo rede ao ser direcionado.</w:t>
      </w:r>
    </w:p>
    <w:p>
      <w:pPr>
        <w:pStyle w:val="ListParagraph"/>
        <w:numPr>
          <w:ilvl w:val="0"/>
          <w:numId w:val="2"/>
        </w:numPr>
      </w:pPr>
      <w:r>
        <w:t xml:space="preserve">Cláusula 6.2: modelo parceiro — composição 50/30/20; o parceiro recebe 30% do valor líquido pago (descontos e taxas divididos proporcionalmente); no boleto, a entrada é 100% da AlignSystem e o parceiro recebe 60% de cada boleto do saldo.</w:t>
      </w:r>
    </w:p>
    <w:p>
      <w:pPr>
        <w:pStyle w:val="ListParagraph"/>
        <w:numPr>
          <w:ilvl w:val="0"/>
          <w:numId w:val="2"/>
        </w:numPr>
      </w:pPr>
      <w:r>
        <w:t xml:space="preserve">Cláusula 6.3 (nova): modelo rede — R$ 120,00 por consulta validada, até 8 consultas (simples), 10 (média complexidade) e 15 (complexos).</w:t>
      </w:r>
    </w:p>
    <w:p>
      <w:pPr>
        <w:pStyle w:val="ListParagraph"/>
        <w:numPr>
          <w:ilvl w:val="0"/>
          <w:numId w:val="2"/>
        </w:numPr>
      </w:pPr>
      <w:r>
        <w:t xml:space="preserve">Cláusula 6.4 (nova): consultas excedentes — acima do limite, o paciente contrata por aditivo e cada consulta extra é paga ao parceiro por R$ 120,00, nos dois modelos.</w:t>
      </w:r>
    </w:p>
    <w:p>
      <w:pPr>
        <w:pStyle w:val="ListParagraph"/>
        <w:numPr>
          <w:ilvl w:val="0"/>
          <w:numId w:val="2"/>
        </w:numPr>
      </w:pPr>
      <w:r>
        <w:t xml:space="preserve">Cláusula 6.5: na desistência do paciente, a multa é 100% da AlignSystem; o parceiro recebe pelos atendimentos já realizados.</w:t>
      </w:r>
    </w:p>
    <w:p>
      <w:pPr>
        <w:pStyle w:val="ListParagraph"/>
        <w:numPr>
          <w:ilvl w:val="0"/>
          <w:numId w:val="2"/>
        </w:numPr>
      </w:pPr>
      <w:r>
        <w:t xml:space="preserve">Cláusulas 6.6 a 6.9: consulta avulsa (R$ 120,00), registro dos atendimentos como condição de pagamento, forma de repasse por modelo e revisão por aditivo.</w:t>
      </w:r>
    </w:p>
    <w:p>
      <w:pPr>
        <w:pStyle w:val="ListParagraph"/>
        <w:numPr>
          <w:ilvl w:val="0"/>
          <w:numId w:val="2"/>
        </w:numPr>
      </w:pPr>
      <w:r>
        <w:t xml:space="preserve">Saem o valor fixo por caso e os marcos de 30%/40%/30%.</w:t>
      </w:r>
    </w:p>
    <w:p>
      <w:pPr>
        <w:pStyle w:val="Heading2"/>
      </w:pPr>
      <w:r>
        <w:t xml:space="preserve">Pontos que pedem sua atenção</w:t>
      </w:r>
    </w:p>
    <w:p>
      <w:pPr>
        <w:pStyle w:val="ListParagraph"/>
        <w:numPr>
          <w:ilvl w:val="0"/>
          <w:numId w:val="2"/>
        </w:numPr>
      </w:pPr>
      <w:r>
        <w:t xml:space="preserve">Remuneração percentual no modelo parceiro: entendemos que não é comissão por encaminhamento, pois cada parte recebe pelo que entrega. Confirmar à luz do Código de Ética Odontológica.</w:t>
      </w:r>
    </w:p>
    <w:p>
      <w:pPr>
        <w:pStyle w:val="ListParagraph"/>
        <w:numPr>
          <w:ilvl w:val="0"/>
          <w:numId w:val="2"/>
        </w:numPr>
      </w:pPr>
      <w:r>
        <w:t xml:space="preserve">Limite de consultas no modelo rede: se o tratamento exigir mais consultas, o aditivo do paciente cobre as extras. A redação protege o dentista o suficiente?</w:t>
      </w:r>
    </w:p>
    <w:p>
      <w:pPr>
        <w:pStyle w:val="ListParagraph"/>
        <w:numPr>
          <w:ilvl w:val="0"/>
          <w:numId w:val="2"/>
        </w:numPr>
      </w:pPr>
      <w:r>
        <w:t xml:space="preserve">A complexidade é definida pela AlignSystem no planejamento. Prever que o dentista possa contestar antes de aceitar o caso?</w:t>
      </w:r>
    </w:p>
    <w:p>
      <w:pPr>
        <w:pStyle w:val="ListParagraph"/>
        <w:numPr>
          <w:ilvl w:val="0"/>
          <w:numId w:val="2"/>
        </w:numPr>
      </w:pPr>
      <w:r>
        <w:t xml:space="preserve">No modelo parceiro, o split paga o dentista quando o paciente paga, antes dos atendimentos. A compensação/restituição da cláusula 6.7 basta?</w:t>
      </w:r>
    </w:p>
    <w:p>
      <w:pPr>
        <w:pStyle w:val="Heading2"/>
      </w:pPr>
      <w:r>
        <w:t xml:space="preserve">Legenda</w:t>
      </w:r>
    </w:p>
    <w:p>
      <w:pPr>
        <w:pStyle w:val="ListParagraph"/>
        <w:numPr>
          <w:ilvl w:val="0"/>
          <w:numId w:val="2"/>
        </w:numPr>
      </w:pPr>
      <w:r>
        <w:rPr>
          <w:highlight w:val="yellow"/>
        </w:rPr>
        <w:t xml:space="preserve">Trechos em amarelo</w:t>
      </w:r>
      <w:r>
        <w:t xml:space="preserve">: dados preenchidos caso a caso pelo sistema ou valores sugeridos a validar.</w:t>
      </w:r>
    </w:p>
    <w:p>
      <w:pPr>
        <w:pStyle w:val="ListParagraph"/>
        <w:numPr>
          <w:ilvl w:val="0"/>
          <w:numId w:val="2"/>
        </w:numPr>
      </w:pPr>
      <w:r>
        <w:rPr>
          <w:b/>
          <w:bCs/>
        </w:rPr>
        <w:t xml:space="preserve">Trechos em negrito</w:t>
      </w:r>
      <w:r>
        <w:t xml:space="preserve">: cláusulas restritivas destacadas (art. 54, § 4º, do CDC).</w:t>
      </w:r>
    </w:p>
    <w:p>
      <w:r>
        <w:br w:type="page"/>
      </w:r>
    </w:p>
    <w:p>
      <w:pPr>
        <w:pStyle w:val="Heading1"/>
        <w:jc w:val="center"/>
      </w:pPr>
      <w:r>
        <w:t xml:space="preserve">Termo de Adesão — Rede de Parceria AlignSystem</w:t>
      </w:r>
    </w:p>
    <w:p>
      <w:pPr>
        <w:spacing w:after="240"/>
        <w:jc w:val="center"/>
      </w:pPr>
      <w:r>
        <w:rPr>
          <w:i/>
          <w:iCs/>
          <w:color w:val="555555"/>
        </w:rPr>
        <w:t xml:space="preserve">Credenciamento de cirurgião-dentista / consultório parceiro</w:t>
      </w:r>
    </w:p>
    <w:p>
      <w:pPr>
        <w:jc w:val="both"/>
      </w:pPr>
      <w:r>
        <w:t xml:space="preserve">Pelo presente instrumento particular, de um lado Instituto Ravel de Ensino Superior Ltda, pessoa jurídica de direito privado, inscrita no CNPJ sob o nº 03.162.275/0001-10, com sede em Av. XV de Novembro, 255, sobreloja, Maringá/PR, CEP 87013-230 ("AlignSystem"), e, de outro lado, </w:t>
      </w:r>
      <w:r>
        <w:rPr>
          <w:highlight w:val="yellow"/>
        </w:rPr>
        <w:t xml:space="preserve">[nome do profissional]</w:t>
      </w:r>
      <w:r>
        <w:t xml:space="preserve">, cirurgião(ã)-dentista inscrito(a) no CRO-</w:t>
      </w:r>
      <w:r>
        <w:rPr>
          <w:highlight w:val="yellow"/>
        </w:rPr>
        <w:t xml:space="preserve">[UF]</w:t>
      </w:r>
      <w:r>
        <w:t xml:space="preserve"> sob o nº </w:t>
      </w:r>
      <w:r>
        <w:rPr>
          <w:highlight w:val="yellow"/>
        </w:rPr>
        <w:t xml:space="preserve">[CRO]</w:t>
      </w:r>
      <w:r>
        <w:t xml:space="preserve">, inscrito(a) no CPF/CNPJ sob o nº </w:t>
      </w:r>
      <w:r>
        <w:rPr>
          <w:highlight w:val="yellow"/>
        </w:rPr>
        <w:t xml:space="preserve">[CPF/CNPJ]</w:t>
      </w:r>
      <w:r>
        <w:t xml:space="preserve"> ("Parceiro(a)"), doravante em conjunto denominados "Partes", têm entre si justo e acordado o presente Termo de Adesão, que se rege pelas cláusulas seguintes.</w:t>
      </w:r>
    </w:p>
    <w:p>
      <w:pPr>
        <w:pStyle w:val="Heading2"/>
      </w:pPr>
      <w:r>
        <w:t xml:space="preserve">1. Objeto</w:t>
      </w:r>
    </w:p>
    <w:p>
      <w:pPr>
        <w:jc w:val="both"/>
      </w:pPr>
      <w:r>
        <w:t xml:space="preserve">O presente Termo tem por objeto estabelecer as condições de credenciamento e de parceria entre a AlignSystem e o(a) Parceiro(a) para a execução clínica de tratamentos ortodônticos com alinhadores transparentes em pacientes direcionados pela rede AlignSystem, conforme o fluxo operacional descrito neste instrumento.</w:t>
      </w:r>
    </w:p>
    <w:p>
      <w:pPr>
        <w:pStyle w:val="Heading2"/>
      </w:pPr>
      <w:r>
        <w:t xml:space="preserve">2. Natureza da relação</w:t>
      </w:r>
    </w:p>
    <w:p>
      <w:pPr>
        <w:jc w:val="both"/>
      </w:pPr>
      <w:r>
        <w:t xml:space="preserve">2.1. O presente Termo não constitui, sob nenhuma hipótese, contrato de franquia empresarial, não estando sujeito à Lei nº 13.966/2019 (Lei de Franquias). A AlignSystem não cobra taxa de filiação, taxa de franquia, royalties sobre o faturamento do Parceiro ou qualquer contrapartida pelo uso de método de negócio padronizado.</w:t>
      </w:r>
    </w:p>
    <w:p>
      <w:pPr>
        <w:jc w:val="both"/>
      </w:pPr>
      <w:r>
        <w:t xml:space="preserve">2.2. O presente Termo também não constitui vínculo empregatício, relação de sociedade, consórcio ou representação comercial entre as Partes, tratando-se de parceria de natureza estritamente civil, mantendo cada Parte sua autonomia técnica, administrativa, tributária e patrimonial.</w:t>
      </w:r>
    </w:p>
    <w:p>
      <w:pPr>
        <w:jc w:val="both"/>
      </w:pPr>
      <w:r>
        <w:t xml:space="preserve">2.3. O(A) Parceiro(a) mantém integral responsabilidade técnica e ética pelos atos clínicos que praticar, nos termos do Código de Ética Odontológica e das normas do CRO/CFO, não havendo qualquer ingerência da AlignSystem sobre o exercício profissional.</w:t>
      </w:r>
    </w:p>
    <w:p>
      <w:pPr>
        <w:pStyle w:val="Heading2"/>
      </w:pPr>
      <w:r>
        <w:t xml:space="preserve">3. Modelo operacional</w:t>
      </w:r>
    </w:p>
    <w:p>
      <w:pPr>
        <w:jc w:val="both"/>
      </w:pPr>
      <w:r>
        <w:t xml:space="preserve">3.1. Ficam a cargo da AlignSystem, salvo disposição em contrário registrada no caso:</w:t>
      </w:r>
    </w:p>
    <w:p>
      <w:pPr>
        <w:pStyle w:val="ListParagraph"/>
        <w:numPr>
          <w:ilvl w:val="0"/>
          <w:numId w:val="3"/>
        </w:numPr>
        <w:jc w:val="both"/>
      </w:pPr>
      <w:r>
        <w:t xml:space="preserve">a captação, triagem e documentação digital inicial do paciente (escaneamento, fotografias e radiografia panorâmica);</w:t>
      </w:r>
    </w:p>
    <w:p>
      <w:pPr>
        <w:pStyle w:val="ListParagraph"/>
        <w:numPr>
          <w:ilvl w:val="0"/>
          <w:numId w:val="3"/>
        </w:numPr>
        <w:jc w:val="both"/>
      </w:pPr>
      <w:r>
        <w:t xml:space="preserve">a aquisição e o fornecimento dos alinhadores ao paciente, conforme protocolo indicado;</w:t>
      </w:r>
    </w:p>
    <w:p>
      <w:pPr>
        <w:pStyle w:val="ListParagraph"/>
        <w:numPr>
          <w:ilvl w:val="0"/>
          <w:numId w:val="3"/>
        </w:numPr>
        <w:jc w:val="both"/>
      </w:pPr>
      <w:r>
        <w:t xml:space="preserve">o planejamento digital do caso e o suporte técnico durante o tratamento;</w:t>
      </w:r>
    </w:p>
    <w:p>
      <w:pPr>
        <w:pStyle w:val="ListParagraph"/>
        <w:numPr>
          <w:ilvl w:val="0"/>
          <w:numId w:val="3"/>
        </w:numPr>
        <w:jc w:val="both"/>
      </w:pPr>
      <w:r>
        <w:t xml:space="preserve">a relação financeira e de cobrança com o paciente.</w:t>
      </w:r>
    </w:p>
    <w:p>
      <w:pPr>
        <w:jc w:val="both"/>
      </w:pPr>
      <w:r>
        <w:t xml:space="preserve">3.2. Fica a cargo do(a) Parceiro(a) a execução clínica presencial do caso — avaliação, instalação, ajustes, acompanhamento e finalização — conforme o plano de tratamento aprovado, bem como o registro de evidências clínicas (fotos e anotações) de cada atendimento na plataforma AlignSystem.</w:t>
      </w:r>
    </w:p>
    <w:p>
      <w:pPr>
        <w:jc w:val="both"/>
      </w:pPr>
      <w:r>
        <w:t xml:space="preserve">3.3. A pré-avaliação por fotos e a teleorientação feitas pela plataforma têm caráter orientativo, respeitadas as normas do Conselho Federal de Odontologia sobre odontologia mediada por tecnologia; diagnóstico e plano de tratamento dependem de exame clínico presencial.</w:t>
      </w:r>
    </w:p>
    <w:p>
      <w:pPr>
        <w:pStyle w:val="Heading2"/>
      </w:pPr>
      <w:r>
        <w:t xml:space="preserve">4. Obrigações do(a) Parceiro(a)</w:t>
      </w:r>
    </w:p>
    <w:p>
      <w:pPr>
        <w:pStyle w:val="ListParagraph"/>
        <w:numPr>
          <w:ilvl w:val="0"/>
          <w:numId w:val="3"/>
        </w:numPr>
        <w:jc w:val="both"/>
      </w:pPr>
      <w:r>
        <w:t xml:space="preserve">manter registro profissional (CRO) ativo e regular durante toda a vigência deste Termo;</w:t>
      </w:r>
    </w:p>
    <w:p>
      <w:pPr>
        <w:pStyle w:val="ListParagraph"/>
        <w:numPr>
          <w:ilvl w:val="0"/>
          <w:numId w:val="3"/>
        </w:numPr>
        <w:jc w:val="both"/>
      </w:pPr>
      <w:r>
        <w:t xml:space="preserve">executar os procedimentos conforme o planejamento aprovado, informando à AlignSystem qualquer divergência clínica relevante;</w:t>
      </w:r>
    </w:p>
    <w:p>
      <w:pPr>
        <w:pStyle w:val="ListParagraph"/>
        <w:numPr>
          <w:ilvl w:val="0"/>
          <w:numId w:val="3"/>
        </w:numPr>
        <w:jc w:val="both"/>
      </w:pPr>
      <w:r>
        <w:t xml:space="preserve">registrar evidências de cada atendimento na plataforma, como condição para liberação do repasse correspondente;</w:t>
      </w:r>
    </w:p>
    <w:p>
      <w:pPr>
        <w:pStyle w:val="ListParagraph"/>
        <w:numPr>
          <w:ilvl w:val="0"/>
          <w:numId w:val="3"/>
        </w:numPr>
        <w:jc w:val="both"/>
      </w:pPr>
      <w:r>
        <w:t xml:space="preserve">preservar a confidencialidade de dados de pacientes, materiais e informações comerciais da rede;</w:t>
      </w:r>
    </w:p>
    <w:p>
      <w:pPr>
        <w:pStyle w:val="ListParagraph"/>
        <w:numPr>
          <w:ilvl w:val="0"/>
          <w:numId w:val="3"/>
        </w:numPr>
        <w:jc w:val="both"/>
      </w:pPr>
      <w:r>
        <w:t xml:space="preserve">não utilizar a base de pacientes recebida pela rede para atendimento particular direto, à margem da AlignSystem, durante a vigência deste Termo e pelo prazo de 12 meses após seu término;</w:t>
      </w:r>
    </w:p>
    <w:p>
      <w:pPr>
        <w:pStyle w:val="ListParagraph"/>
        <w:numPr>
          <w:ilvl w:val="0"/>
          <w:numId w:val="3"/>
        </w:numPr>
        <w:jc w:val="both"/>
      </w:pPr>
      <w:r>
        <w:t xml:space="preserve">não divulgar preços, promoções ou condições de pagamento em nome da rede, observando o Código de Ética Odontológica;</w:t>
      </w:r>
    </w:p>
    <w:p>
      <w:pPr>
        <w:pStyle w:val="ListParagraph"/>
        <w:numPr>
          <w:ilvl w:val="0"/>
          <w:numId w:val="3"/>
        </w:numPr>
        <w:jc w:val="both"/>
      </w:pPr>
      <w:r>
        <w:t xml:space="preserve">observar o Código de Ética Odontológica e a legislação sanitária aplicável em todos os atendimentos.</w:t>
      </w:r>
    </w:p>
    <w:p>
      <w:pPr>
        <w:pStyle w:val="Heading2"/>
      </w:pPr>
      <w:r>
        <w:t xml:space="preserve">5. Obrigações da AlignSystem</w:t>
      </w:r>
    </w:p>
    <w:p>
      <w:pPr>
        <w:pStyle w:val="ListParagraph"/>
        <w:numPr>
          <w:ilvl w:val="0"/>
          <w:numId w:val="3"/>
        </w:numPr>
        <w:jc w:val="both"/>
      </w:pPr>
      <w:r>
        <w:t xml:space="preserve">direcionar ao(à) Parceiro(a) pacientes triados, conforme região e disponibilidade de agenda informada;</w:t>
      </w:r>
    </w:p>
    <w:p>
      <w:pPr>
        <w:pStyle w:val="ListParagraph"/>
        <w:numPr>
          <w:ilvl w:val="0"/>
          <w:numId w:val="3"/>
        </w:numPr>
        <w:jc w:val="both"/>
      </w:pPr>
      <w:r>
        <w:t xml:space="preserve">fornecer a documentação inicial e os alinhadores necessários à execução do caso, dentro dos prazos operacionais da rede;</w:t>
      </w:r>
    </w:p>
    <w:p>
      <w:pPr>
        <w:pStyle w:val="ListParagraph"/>
        <w:numPr>
          <w:ilvl w:val="0"/>
          <w:numId w:val="3"/>
        </w:numPr>
        <w:jc w:val="both"/>
      </w:pPr>
      <w:r>
        <w:t xml:space="preserve">disponibilizar planejamento digital e suporte técnico durante o tratamento;</w:t>
      </w:r>
    </w:p>
    <w:p>
      <w:pPr>
        <w:pStyle w:val="ListParagraph"/>
        <w:numPr>
          <w:ilvl w:val="0"/>
          <w:numId w:val="3"/>
        </w:numPr>
        <w:jc w:val="both"/>
      </w:pPr>
      <w:r>
        <w:t xml:space="preserve">efetuar os repasses devidos nos prazos e condições descritos na Cláusula 6.</w:t>
      </w:r>
    </w:p>
    <w:p>
      <w:pPr>
        <w:pStyle w:val="Heading2"/>
      </w:pPr>
      <w:r>
        <w:t xml:space="preserve">6. Remuneração e repasses</w:t>
      </w:r>
    </w:p>
    <w:p>
      <w:pPr>
        <w:jc w:val="both"/>
      </w:pPr>
      <w:r>
        <w:t xml:space="preserve">6.1. </w:t>
      </w:r>
      <w:r>
        <w:rPr>
          <w:b/>
          <w:bCs/>
        </w:rPr>
        <w:t xml:space="preserve">Modelos de caso.</w:t>
      </w:r>
      <w:r>
        <w:t xml:space="preserve"> Cada caso direcionado ao(à) Parceiro(a) é identificado na plataforma, no momento do direcionamento, como (a) </w:t>
      </w:r>
      <w:r>
        <w:rPr>
          <w:b/>
          <w:bCs/>
        </w:rPr>
        <w:t xml:space="preserve">modelo parceiro</w:t>
      </w:r>
      <w:r>
        <w:t xml:space="preserve">, em que o(a) Parceiro(a) conduz o caso e recebe percentual do valor pago pelo paciente; ou (b) </w:t>
      </w:r>
      <w:r>
        <w:rPr>
          <w:b/>
          <w:bCs/>
        </w:rPr>
        <w:t xml:space="preserve">modelo rede</w:t>
      </w:r>
      <w:r>
        <w:t xml:space="preserve">, em que a AlignSystem recebe a totalidade do valor pago pelo paciente e remunera o(a) Parceiro(a) por consulta presencial.</w:t>
      </w:r>
    </w:p>
    <w:p>
      <w:pPr>
        <w:jc w:val="both"/>
      </w:pPr>
      <w:r>
        <w:t xml:space="preserve">6.2. </w:t>
      </w:r>
      <w:r>
        <w:rPr>
          <w:b/>
          <w:bCs/>
        </w:rPr>
        <w:t xml:space="preserve">Modelo parceiro.</w:t>
      </w:r>
      <w:r>
        <w:t xml:space="preserve"> O valor do tratamento pago pelo paciente é composto por 50% referentes aos alinhadores, fornecidos pela AlignSystem; 30% referentes aos atendimentos clínicos presenciais realizados pelo(a) Parceiro(a); e 20% referentes à supervisão clínica remota e ao teleatendimento prestados pela AlignSystem. Pela condução clínica integral do caso, o(a) Parceiro(a) faz jus a 30% (trinta por cento) do valor efetivamente pago pelo paciente, calculado sobre o valor líquido recebido, de modo que descontos concedidos (como o desconto para pagamento à vista) e taxas da plataforma de pagamentos são suportados proporcionalmente pelas Partes. Na modalidade boleto, a entrada corresponde aos alinhadores e pertence integralmente à AlignSystem, e o(a) Parceiro(a) recebe 60% de cada boleto do saldo efetivamente pago.</w:t>
      </w:r>
    </w:p>
    <w:p>
      <w:pPr>
        <w:jc w:val="both"/>
      </w:pPr>
      <w:r>
        <w:rPr>
          <w:b/>
          <w:bCs/>
        </w:rPr>
        <w:t xml:space="preserve">6.3. Modelo rede.</w:t>
      </w:r>
      <w:r>
        <w:t xml:space="preserve"> A AlignSystem pagará ao(à) Parceiro(a) </w:t>
      </w:r>
      <w:r>
        <w:rPr>
          <w:highlight w:val="yellow"/>
        </w:rPr>
        <w:t xml:space="preserve">R$ 120,00</w:t>
      </w:r>
      <w:r>
        <w:t xml:space="preserve"> por consulta presencial realizada e validada, </w:t>
      </w:r>
      <w:r>
        <w:rPr>
          <w:b/>
          <w:bCs/>
        </w:rPr>
        <w:t xml:space="preserve">limitado a 8 (oito) consultas nos casos simples, 10 (dez) nos casos de média complexidade e 15 (quinze) nos casos complexos</w:t>
      </w:r>
      <w:r>
        <w:t xml:space="preserve">, conforme a classificação definida no planejamento e informada na plataforma ao direcionar o caso. Consultas além do limite somente serão remuneradas se contratadas pelo paciente por termo aditivo ou previamente autorizadas por escrito pela AlignSystem. O pagamento é feito em até 10 dias úteis após a validação de cada consulta.</w:t>
      </w:r>
    </w:p>
    <w:p>
      <w:pPr>
        <w:jc w:val="both"/>
      </w:pPr>
      <w:r>
        <w:t xml:space="preserve">6.4. </w:t>
      </w:r>
      <w:r>
        <w:rPr>
          <w:b/>
          <w:bCs/>
        </w:rPr>
        <w:t xml:space="preserve">Consultas excedentes.</w:t>
      </w:r>
      <w:r>
        <w:t xml:space="preserve"> Em ambos os modelos, o contrato do paciente inclui até 8, 10 ou 15 consultas presenciais, conforme a complexidade do caso. Atingido esse limite sem a conclusão do tratamento, as novas consultas e os alinhadores adicionais são contratados pelo paciente por termo aditivo, e cada consulta excedente realizada e validada é paga ao(à) Parceiro(a) pelo valor de </w:t>
      </w:r>
      <w:r>
        <w:rPr>
          <w:highlight w:val="yellow"/>
        </w:rPr>
        <w:t xml:space="preserve">R$ 120,00</w:t>
      </w:r>
      <w:r>
        <w:t xml:space="preserve">, inclusive no modelo parceiro. O(A) Parceiro(a) deve avisar a AlignSystem, pela plataforma, quando o caso estiver próximo do limite.</w:t>
      </w:r>
    </w:p>
    <w:p>
      <w:pPr>
        <w:jc w:val="both"/>
      </w:pPr>
      <w:r>
        <w:t xml:space="preserve">6.5. </w:t>
      </w:r>
      <w:r>
        <w:rPr>
          <w:b/>
          <w:bCs/>
        </w:rPr>
        <w:t xml:space="preserve">Desistência do paciente.</w:t>
      </w:r>
      <w:r>
        <w:t xml:space="preserve"> Em caso de desistência, a multa compensatória cobrada do paciente pertence integralmente à AlignSystem, e o(a) Parceiro(a) faz jus apenas aos valores referentes a atendimentos efetivamente realizados e registrados na plataforma: no modelo parceiro, os já recebidos; no modelo rede, as consultas já realizadas e validadas.</w:t>
      </w:r>
    </w:p>
    <w:p>
      <w:pPr>
        <w:jc w:val="both"/>
      </w:pPr>
      <w:r>
        <w:t xml:space="preserve">6.6. </w:t>
      </w:r>
      <w:r>
        <w:rPr>
          <w:b/>
          <w:bCs/>
        </w:rPr>
        <w:t xml:space="preserve">Consulta avulsa.</w:t>
      </w:r>
      <w:r>
        <w:t xml:space="preserve"> Para atendimentos pontuais não vinculados à condução integral do caso pelo(a) Parceiro(a) — como ajustes, manutenções ou consultas de acompanhamento realizadas por profissional diverso do responsável original — a AlignSystem pagará o valor de </w:t>
      </w:r>
      <w:r>
        <w:rPr>
          <w:highlight w:val="yellow"/>
        </w:rPr>
        <w:t xml:space="preserve">R$ 120,00</w:t>
      </w:r>
      <w:r>
        <w:t xml:space="preserve"> por atendimento validado, em até 10 dias úteis após a validação.</w:t>
      </w:r>
    </w:p>
    <w:p>
      <w:pPr>
        <w:jc w:val="both"/>
      </w:pPr>
      <w:r>
        <w:t xml:space="preserve">6.7. </w:t>
      </w:r>
      <w:r>
        <w:rPr>
          <w:b/>
          <w:bCs/>
        </w:rPr>
        <w:t xml:space="preserve">Registro dos atendimentos.</w:t>
      </w:r>
      <w:r>
        <w:t xml:space="preserve"> O(A) Parceiro(a) deve registrar cada atendimento na plataforma, com fotos e anotações, como condição para o pagamento. Valores recebidos por atendimentos não realizados ou não registrados serão compensados nos repasses seguintes ou restituídos à AlignSystem.</w:t>
      </w:r>
    </w:p>
    <w:p>
      <w:pPr>
        <w:jc w:val="both"/>
      </w:pPr>
      <w:r>
        <w:t xml:space="preserve">6.8. </w:t>
      </w:r>
      <w:r>
        <w:rPr>
          <w:b/>
          <w:bCs/>
        </w:rPr>
        <w:t xml:space="preserve">Forma de repasse.</w:t>
      </w:r>
      <w:r>
        <w:t xml:space="preserve"> No modelo parceiro, os repasses são feitos por divisão automática de pagamento (split) na plataforma de pagamentos utilizada pela AlignSystem, creditados em conta de pagamento de titularidade do(a) Parceiro(a). No modelo rede e nas consultas avulsas, o pagamento é feito por transferência bancária, Pix ou crédito na mesma conta de pagamento, sempre em conta de titularidade do(a) Parceiro(a). O(A) Parceiro(a) autoriza a abertura dessa conta de pagamento em seu nome, com os dados fornecidos no credenciamento, e é responsável pelos tributos incidentes sobre os valores que receber.</w:t>
      </w:r>
    </w:p>
    <w:p>
      <w:pPr>
        <w:jc w:val="both"/>
      </w:pPr>
      <w:r>
        <w:t xml:space="preserve">6.9. Os percentuais e valores desta cláusula poderão ser revistos mediante aditivo escrito, não se aplicando reajuste automático.</w:t>
      </w:r>
    </w:p>
    <w:p>
      <w:pPr>
        <w:pStyle w:val="Heading2"/>
      </w:pPr>
      <w:r>
        <w:t xml:space="preserve">7. Marca e materiais</w:t>
      </w:r>
    </w:p>
    <w:p>
      <w:pPr>
        <w:jc w:val="both"/>
      </w:pPr>
      <w:r>
        <w:t xml:space="preserve">O uso do nome, marca, materiais de comunicação e identidade visual AlignSystem pelo(a) Parceiro(a) está condicionado à prévia autorização da AlignSystem e restrito à vigência deste Termo, devendo cessar imediatamente após seu término, sem geração de direito a indenização por essa cessação.</w:t>
      </w:r>
    </w:p>
    <w:p>
      <w:pPr>
        <w:pStyle w:val="Heading2"/>
      </w:pPr>
      <w:r>
        <w:t xml:space="preserve">8. Confidencialidade e não desvio</w:t>
      </w:r>
    </w:p>
    <w:p>
      <w:pPr>
        <w:jc w:val="both"/>
      </w:pPr>
      <w:r>
        <w:t xml:space="preserve">As Partes comprometem-se a manter sigilo sobre informações comerciais, técnicas e operacionais da rede, bem como sobre dados de pacientes, aplicando-se a Lei Geral de Proteção de Dados (Lei nº 13.709/2018 — LGPD) a todo tratamento de dados pessoais realizado no âmbito desta parceria.</w:t>
      </w:r>
    </w:p>
    <w:p>
      <w:pPr>
        <w:pStyle w:val="Heading2"/>
      </w:pPr>
      <w:r>
        <w:t xml:space="preserve">9. Vigência</w:t>
      </w:r>
    </w:p>
    <w:p>
      <w:pPr>
        <w:jc w:val="both"/>
      </w:pPr>
      <w:r>
        <w:t xml:space="preserve">O presente Termo vigora por prazo indeterminado a partir de seu aceite, podendo ser rescindido pelas Partes na forma da Cláusula 10.</w:t>
      </w:r>
    </w:p>
    <w:p>
      <w:pPr>
        <w:pStyle w:val="Heading2"/>
      </w:pPr>
      <w:r>
        <w:t xml:space="preserve">10. Rescisão e multa rescisória</w:t>
      </w:r>
    </w:p>
    <w:p>
      <w:pPr>
        <w:jc w:val="both"/>
      </w:pPr>
      <w:r>
        <w:t xml:space="preserve">10.1. Qualquer das Partes poderá rescindir este Termo mediante aviso prévio por escrito de 30 dias, ressalvada a conclusão dos casos clínicos em andamento sob responsabilidade do(a) Parceiro(a), que deverão ser finalizados ou formalmente transferidos, conforme acordo entre as Partes.</w:t>
      </w:r>
    </w:p>
    <w:p>
      <w:pPr>
        <w:jc w:val="both"/>
      </w:pPr>
      <w:r>
        <w:rPr>
          <w:b/>
          <w:bCs/>
        </w:rPr>
        <w:t xml:space="preserve">10.2. Em caso de rescisão imotivada por qualquer das Partes antes de completados 12 meses de vigência, a parte denunciante pagará à outra multa rescisória equivalente a 3 repasses médios mensais apurados nos últimos 90 dias, ou o valor fixo de </w:t>
      </w:r>
      <w:r>
        <w:rPr>
          <w:b/>
          <w:bCs/>
          <w:highlight w:val="yellow"/>
        </w:rPr>
        <w:t xml:space="preserve">R$ 5.000,00</w:t>
      </w:r>
      <w:r>
        <w:rPr>
          <w:b/>
          <w:bCs/>
        </w:rPr>
        <w:t xml:space="preserve">, o que for maior.</w:t>
      </w:r>
    </w:p>
    <w:p>
      <w:pPr>
        <w:jc w:val="both"/>
      </w:pPr>
      <w:r>
        <w:t xml:space="preserve">10.3. Havendo justa causa — descumprimento contratual, infração ética ou legal, ou risco à segurança do paciente —, a rescisão poderá ocorrer de forma imediata, sem aviso prévio e sem multa em favor da parte infratora.</w:t>
      </w:r>
    </w:p>
    <w:p>
      <w:pPr>
        <w:pStyle w:val="Heading2"/>
      </w:pPr>
      <w:r>
        <w:t xml:space="preserve">11. Proteção de dados (LGPD)</w:t>
      </w:r>
    </w:p>
    <w:p>
      <w:pPr>
        <w:jc w:val="both"/>
      </w:pPr>
      <w:r>
        <w:t xml:space="preserve">Cada Parte atuará como controladora ou operadora de dados pessoais conforme sua atuação nesta parceria, comprometendo-se a adotar medidas técnicas e administrativas adequadas à proteção dos dados de pacientes, e a comunicar prontamente eventuais incidentes de segurança à outra Parte.</w:t>
      </w:r>
    </w:p>
    <w:p>
      <w:pPr>
        <w:pStyle w:val="Heading2"/>
      </w:pPr>
      <w:r>
        <w:t xml:space="preserve">12. Disposições gerais</w:t>
      </w:r>
    </w:p>
    <w:p>
      <w:pPr>
        <w:jc w:val="both"/>
      </w:pPr>
      <w:r>
        <w:t xml:space="preserve">12.1. Este Termo não gera exclusividade em favor do(a) Parceiro(a), podendo a AlignSystem credenciar outros profissionais na mesma região.</w:t>
      </w:r>
    </w:p>
    <w:p>
      <w:pPr>
        <w:jc w:val="both"/>
      </w:pPr>
      <w:r>
        <w:t xml:space="preserve">12.2. A tolerância de uma Parte quanto ao descumprimento de qualquer cláusula não implica novação ou renúncia de direitos.</w:t>
      </w:r>
    </w:p>
    <w:p>
      <w:pPr>
        <w:jc w:val="both"/>
      </w:pPr>
      <w:r>
        <w:t xml:space="preserve">12.3. Este Termo obriga as Partes e seus eventuais sucessores.</w:t>
      </w:r>
    </w:p>
    <w:p>
      <w:pPr>
        <w:pStyle w:val="Heading2"/>
      </w:pPr>
      <w:r>
        <w:t xml:space="preserve">13. Assinatura eletrônica</w:t>
      </w:r>
    </w:p>
    <w:p>
      <w:pPr>
        <w:jc w:val="both"/>
      </w:pPr>
      <w:r>
        <w:t xml:space="preserve">As partes reconhecem a validade da contratação e da assinatura por meio eletrônico, com aceite registrado na plataforma AlignSystem (identificação do signatário, data, hora, endereço IP e código de integridade do documento), nos termos do art. 10, § 2º, da Medida Provisória nº 2.200-2/2001 e do art. 107 do Código Civil.</w:t>
      </w:r>
    </w:p>
    <w:p>
      <w:pPr>
        <w:pStyle w:val="Heading2"/>
      </w:pPr>
      <w:r>
        <w:t xml:space="preserve">14. Foro</w:t>
      </w:r>
    </w:p>
    <w:p>
      <w:pPr>
        <w:jc w:val="both"/>
      </w:pPr>
      <w:r>
        <w:t xml:space="preserve">Fica eleito o foro da comarca de Maringá/PR, com renúncia a qualquer outro, por mais privilegiado que seja, para dirimir questões oriundas deste Termo.</w:t>
      </w:r>
    </w:p>
    <w:p>
      <w:pPr>
        <w:jc w:val="both"/>
      </w:pPr>
      <w:r>
        <w:rPr>
          <w:highlight w:val="yellow"/>
        </w:rPr>
        <w:t xml:space="preserve">[Cidade]</w:t>
      </w:r>
      <w:r>
        <w:t xml:space="preserve">, </w:t>
      </w:r>
      <w:r>
        <w:rPr>
          <w:highlight w:val="yellow"/>
        </w:rPr>
        <w:t xml:space="preserve">[data]</w:t>
      </w:r>
      <w:r>
        <w:t xml:space="preserve">.</w:t>
      </w:r>
    </w:p>
    <w:p>
      <w:pPr>
        <w:pStyle w:val="Heading2"/>
      </w:pPr>
      <w:r>
        <w:t xml:space="preserve">Assinaturas</w:t>
      </w:r>
    </w:p>
    <w:p>
      <w:pPr>
        <w:jc w:val="both"/>
      </w:pPr>
      <w:r>
        <w:t xml:space="preserve">Contratação por aceite eletrônico na plataforma AlignSystem. O sistema registra, ao final do documento: nome completo digitado, CPF/CNPJ, data e hora, endereço IP, navegador e código de integridade SHA-256 do texto aceito. Para assinatura física, utilizar as linhas abaixo.</w:t>
      </w:r>
    </w:p>
    <w:p>
      <w:pPr>
        <w:spacing w:before="480"/>
      </w:pPr>
      <w:r>
        <w:t xml:space="preserve">____________________________________________</w:t>
      </w:r>
    </w:p>
    <w:p>
      <w:r>
        <w:t xml:space="preserve">Instituto Ravel de Ensino Superior Ltda (AlignSystem) — </w:t>
      </w:r>
      <w:r>
        <w:rPr>
          <w:highlight w:val="yellow"/>
        </w:rPr>
        <w:t xml:space="preserve">[representante legal]</w:t>
      </w:r>
    </w:p>
    <w:p>
      <w:pPr>
        <w:spacing w:before="480"/>
      </w:pPr>
      <w:r>
        <w:t xml:space="preserve">____________________________________________</w:t>
      </w:r>
    </w:p>
    <w:p>
      <w:r>
        <w:rPr>
          <w:highlight w:val="yellow"/>
        </w:rPr>
        <w:t xml:space="preserve">[Nome do(a) Parceiro(a)]</w:t>
      </w:r>
      <w:r>
        <w:t xml:space="preserve"> — CRO-</w:t>
      </w:r>
      <w:r>
        <w:rPr>
          <w:highlight w:val="yellow"/>
        </w:rPr>
        <w:t xml:space="preserve">[UF]</w:t>
      </w:r>
      <w:r>
        <w:t xml:space="preserve"> nº </w:t>
      </w:r>
      <w:r>
        <w:rPr>
          <w:highlight w:val="yellow"/>
        </w:rPr>
        <w:t xml:space="preserve">[•]</w:t>
      </w:r>
    </w:p>
    <w:p>
      <w:pPr>
        <w:spacing w:before="480"/>
      </w:pPr>
      <w:r>
        <w:t xml:space="preserve">____________________________________________</w:t>
      </w:r>
    </w:p>
    <w:p>
      <w:r>
        <w:t xml:space="preserve">Testemunha 1 — CPF nº </w:t>
      </w:r>
      <w:r>
        <w:rPr>
          <w:highlight w:val="yellow"/>
        </w:rPr>
        <w:t xml:space="preserve">[•]</w:t>
      </w:r>
    </w:p>
    <w:p>
      <w:pPr>
        <w:spacing w:before="480"/>
      </w:pPr>
      <w:r>
        <w:t xml:space="preserve">____________________________________________</w:t>
      </w:r>
    </w:p>
    <w:p>
      <w:r>
        <w:t xml:space="preserve">Testemunha 2 — CPF nº </w:t>
      </w:r>
      <w:r>
        <w:rPr>
          <w:highlight w:val="yellow"/>
        </w:rPr>
        <w:t xml:space="preserve">[•]</w:t>
      </w:r>
    </w:p>
    <w:sectPr>
      <w:footerReference w:type="default" r:id="rId6"/>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Termo de Adesão — Dentista × Instituto Ravel (AlignSystem) — minuta para revisão — 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lowerLetter"/>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2233A"/>
      <w:sz w:val="28"/>
      <w:szCs w:val="28"/>
    </w:rPr>
  </w:style>
  <w:style w:type="paragraph" w:styleId="Heading2">
    <w:name w:val="Heading 2"/>
    <w:basedOn w:val="Normal"/>
    <w:next w:val="Normal"/>
    <w:qFormat/>
    <w:pPr>
      <w:keepNext/>
      <w:spacing w:after="100" w:before="220"/>
      <w:outlineLvl w:val="1"/>
    </w:pPr>
    <w:rPr>
      <w:b/>
      <w:bCs/>
      <w:color w:val="157A6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Adesão — Dentista × Instituto Ravel (AlignSystem)</dc:title>
  <dc:creator>AlignSystem</dc:creator>
  <cp:lastModifiedBy>Un-named</cp:lastModifiedBy>
  <cp:revision>1</cp:revision>
  <dcterms:created xsi:type="dcterms:W3CDTF">2026-10-02T10:09:06.868Z</dcterms:created>
  <dcterms:modified xsi:type="dcterms:W3CDTF">2026-10-02T10:09:06.868Z</dcterms:modified>
</cp:coreProperties>
</file>

<file path=docProps/custom.xml><?xml version="1.0" encoding="utf-8"?>
<Properties xmlns="http://schemas.openxmlformats.org/officeDocument/2006/custom-properties" xmlns:vt="http://schemas.openxmlformats.org/officeDocument/2006/docPropsVTypes"/>
</file>