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2233A"/>
          <w:sz w:val="28"/>
          <w:szCs w:val="28"/>
        </w:rPr>
        <w:t xml:space="preserve">AlignSystem</w:t>
      </w:r>
    </w:p>
    <w:p>
      <w:pPr>
        <w:spacing w:after="120"/>
        <w:jc w:val="center"/>
      </w:pPr>
      <w:r>
        <w:rPr>
          <w:b/>
          <w:bCs/>
          <w:color w:val="B3261E"/>
        </w:rPr>
        <w:t xml:space="preserve">MINUTA PARA REVISÃO JURÍDICA — versão de 28/09/2026</w:t>
      </w:r>
    </w:p>
    <w:p>
      <w:pPr>
        <w:pBdr>
          <w:bottom w:val="single" w:color="157A6E" w:sz="6" w:space="4"/>
        </w:pBdr>
      </w:pPr>
    </w:p>
    <w:p>
      <w:pPr>
        <w:pStyle w:val="Heading1"/>
      </w:pPr>
      <w:r>
        <w:t xml:space="preserve">Nota para a revisão</w:t>
      </w:r>
    </w:p>
    <w:p>
      <w:pPr>
        <w:jc w:val="both"/>
      </w:pPr>
      <w:r>
        <w:t xml:space="preserve">Dra. Roberta, este é o contrato que a plataforma AlignSystem gera para cada paciente depois que o plano de tratamento é apresentado. Os dados em amarelo são preenchidos automaticamente com os dados do caso. O paciente recebe um link, lê o texto e aceita eletronicamente; o texto aceito fica guardado sem possibilidade de alteração.</w:t>
      </w:r>
    </w:p>
    <w:p>
      <w:pPr>
        <w:jc w:val="both"/>
      </w:pPr>
      <w:r>
        <w:t xml:space="preserve">Ele parte da minuta anterior (Contrato_Paciente_AlignSystem.docx). Abaixo, as alterações feitas e os pontos em que precisamos da sua validação antes de usar com pacientes reais.</w:t>
      </w:r>
    </w:p>
    <w:p>
      <w:pPr>
        <w:pStyle w:val="Heading2"/>
      </w:pPr>
      <w:r>
        <w:t xml:space="preserve">O que mudou em relação à minuta anterior</w:t>
      </w:r>
    </w:p>
    <w:p>
      <w:pPr>
        <w:pStyle w:val="ListParagraph"/>
        <w:numPr>
          <w:ilvl w:val="0"/>
          <w:numId w:val="2"/>
        </w:numPr>
      </w:pPr>
      <w:r>
        <w:t xml:space="preserve">Cláusula 2: acrescentado que a pré-avaliação por fotos feita pela internet é apenas orientativa e não substitui o exame clínico presencial.</w:t>
      </w:r>
    </w:p>
    <w:p>
      <w:pPr>
        <w:pStyle w:val="ListParagraph"/>
        <w:numPr>
          <w:ilvl w:val="0"/>
          <w:numId w:val="2"/>
        </w:numPr>
      </w:pPr>
      <w:r>
        <w:t xml:space="preserve">Cláusula 4.3: parcelas limitadas expressamente a 36; cláusula 4.4 informa que as cobranças são emitidas por plataforma de pagamentos e enviadas por e-mail/WhatsApp.</w:t>
      </w:r>
    </w:p>
    <w:p>
      <w:pPr>
        <w:pStyle w:val="ListParagraph"/>
        <w:numPr>
          <w:ilvl w:val="0"/>
          <w:numId w:val="2"/>
        </w:numPr>
      </w:pPr>
      <w:r>
        <w:t xml:space="preserve">Cláusula 5.2: o valor de reposição do alinhador passa a ser preenchido caso a caso (a minuta sugeria R$ 150 a R$ 300 por unidade).</w:t>
      </w:r>
    </w:p>
    <w:p>
      <w:pPr>
        <w:pStyle w:val="ListParagraph"/>
        <w:numPr>
          <w:ilvl w:val="0"/>
          <w:numId w:val="2"/>
        </w:numPr>
      </w:pPr>
      <w:r>
        <w:t xml:space="preserve">Cláusula 9.2: prazo de restituição do saldo fixado em 30 dias.</w:t>
      </w:r>
    </w:p>
    <w:p>
      <w:pPr>
        <w:pStyle w:val="ListParagraph"/>
        <w:numPr>
          <w:ilvl w:val="0"/>
          <w:numId w:val="2"/>
        </w:numPr>
      </w:pPr>
      <w:r>
        <w:t xml:space="preserve">Cláusula 10: esclarecido que as fotos enviadas pela plataforma são usadas só para avaliação e acompanhamento.</w:t>
      </w:r>
    </w:p>
    <w:p>
      <w:pPr>
        <w:pStyle w:val="ListParagraph"/>
        <w:numPr>
          <w:ilvl w:val="0"/>
          <w:numId w:val="2"/>
        </w:numPr>
      </w:pPr>
      <w:r>
        <w:t xml:space="preserve">Cláusula 11: indicado o canal para exercício dos direitos da LGPD (contato@alignsystem.com.br).</w:t>
      </w:r>
    </w:p>
    <w:p>
      <w:pPr>
        <w:pStyle w:val="ListParagraph"/>
        <w:numPr>
          <w:ilvl w:val="0"/>
          <w:numId w:val="2"/>
        </w:numPr>
      </w:pPr>
      <w:r>
        <w:t xml:space="preserve">Nova cláusula 12 (assinatura eletrônica), com base no art. 10, § 2º, da MP 2.200-2/2001 e no art. 107 do Código Civil.</w:t>
      </w:r>
    </w:p>
    <w:p>
      <w:pPr>
        <w:pStyle w:val="ListParagraph"/>
        <w:numPr>
          <w:ilvl w:val="0"/>
          <w:numId w:val="2"/>
        </w:numPr>
      </w:pPr>
      <w:r>
        <w:t xml:space="preserve">Assinaturas: substituídas pelo registro do aceite eletrônico, mantidas as linhas para eventual assinatura física.</w:t>
      </w:r>
    </w:p>
    <w:p>
      <w:pPr>
        <w:pStyle w:val="Heading2"/>
      </w:pPr>
      <w:r>
        <w:t xml:space="preserve">Pontos que pedem sua atenção</w:t>
      </w:r>
    </w:p>
    <w:p>
      <w:pPr>
        <w:pStyle w:val="ListParagraph"/>
        <w:numPr>
          <w:ilvl w:val="0"/>
          <w:numId w:val="2"/>
        </w:numPr>
      </w:pPr>
      <w:r>
        <w:t xml:space="preserve">Validade e força probatória do aceite eletrônico simples (nome + CPF + IP + hash), sem certificado ICP-Brasil. Vale exigir alguma confirmação adicional (código por WhatsApp/e-mail)?</w:t>
      </w:r>
    </w:p>
    <w:p>
      <w:pPr>
        <w:pStyle w:val="ListParagraph"/>
        <w:numPr>
          <w:ilvl w:val="0"/>
          <w:numId w:val="2"/>
        </w:numPr>
      </w:pPr>
      <w:r>
        <w:t xml:space="preserve">Pacientes menores de 18 anos: o site aceita cadastro a partir de 10 anos. Precisamos de cláusula/qualificação do responsável legal e de como ele assina.</w:t>
      </w:r>
    </w:p>
    <w:p>
      <w:pPr>
        <w:pStyle w:val="ListParagraph"/>
        <w:numPr>
          <w:ilvl w:val="0"/>
          <w:numId w:val="2"/>
        </w:numPr>
      </w:pPr>
      <w:r>
        <w:t xml:space="preserve">Quem é a CONTRATADA: a AlignSystem (CNPJ ainda a definir) com o dentista parceiro como responsável técnico. Avaliar responsabilidade solidária entre AlignSystem e dentista perante o paciente (CDC) e se o dentista deve assinar também.</w:t>
      </w:r>
    </w:p>
    <w:p>
      <w:pPr>
        <w:pStyle w:val="ListParagraph"/>
        <w:numPr>
          <w:ilvl w:val="0"/>
          <w:numId w:val="2"/>
        </w:numPr>
      </w:pPr>
      <w:r>
        <w:t xml:space="preserve">Destaque das cláusulas restritivas (art. 54, § 4º, do CDC): destacamos em negrito as cláusulas 5.2, 8 e 9.2. Confirmar se é suficiente ou se falta alguma.</w:t>
      </w:r>
    </w:p>
    <w:p>
      <w:pPr>
        <w:pStyle w:val="ListParagraph"/>
        <w:numPr>
          <w:ilvl w:val="0"/>
          <w:numId w:val="2"/>
        </w:numPr>
      </w:pPr>
      <w:r>
        <w:t xml:space="preserve">Dados de saúde (dado sensível na LGPD): confirmar se o consentimento coletado no formulário do site e a cláusula 11 bastam, ou se é preciso um termo de consentimento separado.</w:t>
      </w:r>
    </w:p>
    <w:p>
      <w:pPr>
        <w:pStyle w:val="ListParagraph"/>
        <w:numPr>
          <w:ilvl w:val="0"/>
          <w:numId w:val="2"/>
        </w:numPr>
      </w:pPr>
      <w:r>
        <w:t xml:space="preserve">Cláusula 9.2 (rescisão após 7 dias): verificar se a cobrança dos alinhadores "em confecção" é aceitável ou pode ser vista como abusiva.</w:t>
      </w:r>
    </w:p>
    <w:p>
      <w:pPr>
        <w:pStyle w:val="ListParagraph"/>
        <w:numPr>
          <w:ilvl w:val="0"/>
          <w:numId w:val="2"/>
        </w:numPr>
      </w:pPr>
      <w:r>
        <w:t xml:space="preserve">Publicidade e ética: o site não divulga preços nem gratuidade (art. 44 do Código de Ética Odontológica). O programa de indicação paga cashback a quem indica; confirmar se isso não é considerado captação irregular de clientela.</w:t>
      </w:r>
    </w:p>
    <w:p>
      <w:pPr>
        <w:pStyle w:val="ListParagraph"/>
        <w:numPr>
          <w:ilvl w:val="0"/>
          <w:numId w:val="2"/>
        </w:numPr>
      </w:pPr>
      <w:r>
        <w:t xml:space="preserve">Teleorientação por vídeo e pré-avaliação por fotos: confirmar o enquadramento nas normas atuais do CFO sobre odontologia mediada por tecnologia.</w:t>
      </w:r>
    </w:p>
    <w:p>
      <w:pPr>
        <w:pStyle w:val="Heading2"/>
      </w:pPr>
      <w:r>
        <w:t xml:space="preserve">Legenda</w:t>
      </w:r>
    </w:p>
    <w:p>
      <w:pPr>
        <w:pStyle w:val="ListParagraph"/>
        <w:numPr>
          <w:ilvl w:val="0"/>
          <w:numId w:val="2"/>
        </w:numPr>
      </w:pPr>
      <w:r>
        <w:rPr>
          <w:highlight w:val="yellow"/>
        </w:rPr>
        <w:t xml:space="preserve">Trechos em amarelo</w:t>
      </w:r>
      <w:r>
        <w:t xml:space="preserve">: dados preenchidos caso a caso pelo sistema ou valores sugeridos a validar.</w:t>
      </w:r>
    </w:p>
    <w:p>
      <w:pPr>
        <w:pStyle w:val="ListParagraph"/>
        <w:numPr>
          <w:ilvl w:val="0"/>
          <w:numId w:val="2"/>
        </w:numPr>
      </w:pPr>
      <w:r>
        <w:rPr>
          <w:b/>
          <w:bCs/>
        </w:rPr>
        <w:t xml:space="preserve">Trechos em negrito</w:t>
      </w:r>
      <w:r>
        <w:t xml:space="preserve">: cláusulas restritivas destacadas (art. 54, § 4º, do CDC).</w:t>
      </w:r>
    </w:p>
    <w:p>
      <w:r>
        <w:br w:type="page"/>
      </w:r>
    </w:p>
    <w:p>
      <w:pPr>
        <w:pStyle w:val="Heading1"/>
        <w:jc w:val="center"/>
      </w:pPr>
      <w:r>
        <w:t xml:space="preserve">Contrato de prestação de serviços odontológicos</w:t>
      </w:r>
    </w:p>
    <w:p>
      <w:pPr>
        <w:spacing w:after="240"/>
        <w:jc w:val="center"/>
      </w:pPr>
      <w:r>
        <w:rPr>
          <w:i/>
          <w:iCs/>
          <w:color w:val="555555"/>
        </w:rPr>
        <w:t xml:space="preserve">Tratamento ortodôntico com alinhadores transparentes — AlignSystem · Caso nº </w:t>
      </w:r>
      <w:r>
        <w:rPr>
          <w:i/>
          <w:iCs/>
          <w:color w:val="555555"/>
          <w:highlight w:val="yellow"/>
        </w:rPr>
        <w:t xml:space="preserve">[nº]</w:t>
      </w:r>
    </w:p>
    <w:p>
      <w:pPr>
        <w:jc w:val="both"/>
      </w:pPr>
      <w:r>
        <w:rPr>
          <w:b/>
          <w:bCs/>
        </w:rPr>
        <w:t xml:space="preserve">CONTRATANTE:</w:t>
      </w:r>
      <w:r>
        <w:t xml:space="preserve"> </w:t>
      </w:r>
      <w:r>
        <w:rPr>
          <w:highlight w:val="yellow"/>
        </w:rPr>
        <w:t xml:space="preserve">[nome do paciente]</w:t>
      </w:r>
      <w:r>
        <w:t xml:space="preserve">, portador(a) do CPF nº </w:t>
      </w:r>
      <w:r>
        <w:rPr>
          <w:highlight w:val="yellow"/>
        </w:rPr>
        <w:t xml:space="preserve">[CPF]</w:t>
      </w:r>
      <w:r>
        <w:t xml:space="preserve">, residente em </w:t>
      </w:r>
      <w:r>
        <w:rPr>
          <w:highlight w:val="yellow"/>
        </w:rPr>
        <w:t xml:space="preserve">[endereço]</w:t>
      </w:r>
      <w:r>
        <w:t xml:space="preserve"> ("Paciente").</w:t>
      </w:r>
    </w:p>
    <w:p>
      <w:pPr>
        <w:jc w:val="both"/>
      </w:pPr>
      <w:r>
        <w:rPr>
          <w:b/>
          <w:bCs/>
        </w:rPr>
        <w:t xml:space="preserve">CONTRATADA:</w:t>
      </w:r>
      <w:r>
        <w:t xml:space="preserve"> </w:t>
      </w:r>
      <w:r>
        <w:rPr>
          <w:highlight w:val="yellow"/>
        </w:rPr>
        <w:t xml:space="preserve">[razão social AlignSystem]</w:t>
      </w:r>
      <w:r>
        <w:t xml:space="preserve">, CNPJ nº </w:t>
      </w:r>
      <w:r>
        <w:rPr>
          <w:highlight w:val="yellow"/>
        </w:rPr>
        <w:t xml:space="preserve">[CNPJ]</w:t>
      </w:r>
      <w:r>
        <w:t xml:space="preserve">, com sede em </w:t>
      </w:r>
      <w:r>
        <w:rPr>
          <w:highlight w:val="yellow"/>
        </w:rPr>
        <w:t xml:space="preserve">[endereço]</w:t>
      </w:r>
      <w:r>
        <w:t xml:space="preserve">, tendo como responsável técnico pelo caso </w:t>
      </w:r>
      <w:r>
        <w:rPr>
          <w:highlight w:val="yellow"/>
        </w:rPr>
        <w:t xml:space="preserve">[dentista responsável]</w:t>
      </w:r>
      <w:r>
        <w:t xml:space="preserve">, CRO-</w:t>
      </w:r>
      <w:r>
        <w:rPr>
          <w:highlight w:val="yellow"/>
        </w:rPr>
        <w:t xml:space="preserve">[UF]</w:t>
      </w:r>
      <w:r>
        <w:t xml:space="preserve"> nº </w:t>
      </w:r>
      <w:r>
        <w:rPr>
          <w:highlight w:val="yellow"/>
        </w:rPr>
        <w:t xml:space="preserve">[CRO]</w:t>
      </w:r>
      <w:r>
        <w:t xml:space="preserve"> ("Contratada").</w:t>
      </w:r>
    </w:p>
    <w:p>
      <w:pPr>
        <w:jc w:val="both"/>
      </w:pPr>
      <w:r>
        <w:t xml:space="preserve">As partes acima identificadas têm, entre si, justo e acordado o presente contrato, que se rege pelas cláusulas seguintes.</w:t>
      </w:r>
    </w:p>
    <w:p>
      <w:pPr>
        <w:pStyle w:val="Heading2"/>
      </w:pPr>
      <w:r>
        <w:t xml:space="preserve">1. Objeto</w:t>
      </w:r>
    </w:p>
    <w:p>
      <w:pPr>
        <w:jc w:val="both"/>
      </w:pPr>
      <w:r>
        <w:t xml:space="preserve">O presente contrato tem por objeto a prestação, pela Contratada, de serviço odontológico de tratamento ortodôntico por meio de alinhadores transparentes da marca </w:t>
      </w:r>
      <w:r>
        <w:rPr>
          <w:highlight w:val="yellow"/>
        </w:rPr>
        <w:t xml:space="preserve">[marca do alinhador]</w:t>
      </w:r>
      <w:r>
        <w:t xml:space="preserve">, conforme plano de tratamento elaborado após avaliação e documentação digital do(a) Paciente, que passa a integrar este contrato como Anexo I.</w:t>
      </w:r>
    </w:p>
    <w:p>
      <w:pPr>
        <w:pStyle w:val="Heading2"/>
      </w:pPr>
      <w:r>
        <w:t xml:space="preserve">2. Documentação e planejamento</w:t>
      </w:r>
    </w:p>
    <w:p>
      <w:pPr>
        <w:jc w:val="both"/>
      </w:pPr>
      <w:r>
        <w:t xml:space="preserve">A Contratada realizará escaneamento intraoral, fotografias clínicas e radiografia panorâmica do(a) Paciente, com base nas quais será elaborado o plano de tratamento individualizado, apresentado e aprovado pelo(a) Paciente antes do início da confecção dos alinhadores. A pré-avaliação por fotos realizada pela internet tem caráter apenas orientativo e não substitui o exame clínico presencial.</w:t>
      </w:r>
    </w:p>
    <w:p>
      <w:pPr>
        <w:pStyle w:val="Heading2"/>
      </w:pPr>
      <w:r>
        <w:t xml:space="preserve">3. Prazo do tratamento</w:t>
      </w:r>
    </w:p>
    <w:p>
      <w:pPr>
        <w:jc w:val="both"/>
      </w:pPr>
      <w:r>
        <w:t xml:space="preserve">3.1. O tratamento tem duração estimada de </w:t>
      </w:r>
      <w:r>
        <w:rPr>
          <w:highlight w:val="yellow"/>
        </w:rPr>
        <w:t xml:space="preserve">[nº de]</w:t>
      </w:r>
      <w:r>
        <w:t xml:space="preserve"> meses, respeitado o limite máximo de 36 (trinta e seis) meses previsto neste contrato, podendo variar conforme a resposta biológica individual do(a) Paciente.</w:t>
      </w:r>
    </w:p>
    <w:p>
      <w:pPr>
        <w:jc w:val="both"/>
      </w:pPr>
      <w:r>
        <w:t xml:space="preserve">3.2. Havendo necessidade clínica de prorrogação além do prazo inicialmente estimado, dentro do limite de 36 meses, esta poderá ocorrer sem custo adicional de planejamento, desde que decorrente de evolução normal do tratamento e não de descumprimento das orientações pelo(a) Paciente.</w:t>
      </w:r>
    </w:p>
    <w:p>
      <w:pPr>
        <w:pStyle w:val="Heading2"/>
      </w:pPr>
      <w:r>
        <w:t xml:space="preserve">4. Valor e condições de pagamento</w:t>
      </w:r>
    </w:p>
    <w:p>
      <w:pPr>
        <w:jc w:val="both"/>
      </w:pPr>
      <w:r>
        <w:t xml:space="preserve">4.1. O valor total do tratamento, referente ao protocolo descrito no Anexo I, é de </w:t>
      </w:r>
      <w:r>
        <w:rPr>
          <w:highlight w:val="yellow"/>
        </w:rPr>
        <w:t xml:space="preserve">[valor total]</w:t>
      </w:r>
      <w:r>
        <w:t xml:space="preserve"> ("Contrato Fechado"), cobrindo a documentação inicial, os alinhadores previstos no planejamento aprovado e o acompanhamento clínico durante o tratamento, ressalvadas as hipóteses da Cláusula 5.</w:t>
      </w:r>
    </w:p>
    <w:p>
      <w:pPr>
        <w:jc w:val="both"/>
      </w:pPr>
      <w:r>
        <w:t xml:space="preserve">4.2. Entrada: o valor de entrada de </w:t>
      </w:r>
      <w:r>
        <w:rPr>
          <w:highlight w:val="yellow"/>
        </w:rPr>
        <w:t xml:space="preserve">[valor da entrada]</w:t>
      </w:r>
      <w:r>
        <w:t xml:space="preserve"> será pago exclusivamente por meio de cartão de crédito, em até 18 parcelas.</w:t>
      </w:r>
    </w:p>
    <w:p>
      <w:pPr>
        <w:jc w:val="both"/>
      </w:pPr>
      <w:r>
        <w:t xml:space="preserve">4.3. Parcelas do tratamento: o saldo remanescente será pago em </w:t>
      </w:r>
      <w:r>
        <w:rPr>
          <w:highlight w:val="yellow"/>
        </w:rPr>
        <w:t xml:space="preserve">[nº de]</w:t>
      </w:r>
      <w:r>
        <w:t xml:space="preserve"> parcelas mensais de </w:t>
      </w:r>
      <w:r>
        <w:rPr>
          <w:highlight w:val="yellow"/>
        </w:rPr>
        <w:t xml:space="preserve">[valor]</w:t>
      </w:r>
      <w:r>
        <w:t xml:space="preserve">, com vencimento todo dia </w:t>
      </w:r>
      <w:r>
        <w:rPr>
          <w:highlight w:val="yellow"/>
        </w:rPr>
        <w:t xml:space="preserve">[dia]</w:t>
      </w:r>
      <w:r>
        <w:t xml:space="preserve">, limitadas a 36 (trinta e seis) parcelas.</w:t>
      </w:r>
    </w:p>
    <w:p>
      <w:pPr>
        <w:jc w:val="both"/>
      </w:pPr>
      <w:r>
        <w:t xml:space="preserve">4.4. As cobranças são emitidas pela plataforma de pagamentos utilizada pela Contratada e enviadas ao(à) Paciente por e-mail e/ou WhatsApp. Eventuais juros ou encargos de parcelamento no cartão de crédito são de responsabilidade da respectiva operadora/banco emissor e serão informados ao(à) Paciente antes da confirmação do pagamento, conforme exige o Código de Defesa do Consumidor.</w:t>
      </w:r>
    </w:p>
    <w:p>
      <w:pPr>
        <w:pStyle w:val="Heading2"/>
      </w:pPr>
      <w:r>
        <w:t xml:space="preserve">5. Alinhadores extraviados ou danificados</w:t>
      </w:r>
    </w:p>
    <w:p>
      <w:pPr>
        <w:jc w:val="both"/>
      </w:pPr>
      <w:r>
        <w:t xml:space="preserve">5.1. Os alinhadores fornecidos são de uso individual e de responsabilidade do(a) Paciente quanto à sua guarda e conservação.</w:t>
      </w:r>
    </w:p>
    <w:p>
      <w:pPr>
        <w:jc w:val="both"/>
      </w:pPr>
      <w:r>
        <w:rPr>
          <w:b/>
          <w:bCs/>
        </w:rPr>
        <w:t xml:space="preserve">5.2. Em caso de perda, quebra ou dano ao alinhador por mau uso, será cobrado o valor adicional de reposição de </w:t>
      </w:r>
      <w:r>
        <w:rPr>
          <w:b/>
          <w:bCs/>
          <w:highlight w:val="yellow"/>
        </w:rPr>
        <w:t xml:space="preserve">[valor de reposição]</w:t>
      </w:r>
      <w:r>
        <w:rPr>
          <w:b/>
          <w:bCs/>
        </w:rPr>
        <w:t xml:space="preserve"> por unidade, não incluído no valor do Contrato Fechado descrito na Cláusula 4.</w:t>
      </w:r>
    </w:p>
    <w:p>
      <w:pPr>
        <w:jc w:val="both"/>
      </w:pPr>
      <w:r>
        <w:t xml:space="preserve">5.3. Substituições decorrentes de defeito de fabricação não geram cobrança adicional ao(à) Paciente.</w:t>
      </w:r>
    </w:p>
    <w:p>
      <w:pPr>
        <w:pStyle w:val="Heading2"/>
      </w:pPr>
      <w:r>
        <w:t xml:space="preserve">6. Obrigações do(a) Paciente</w:t>
      </w:r>
    </w:p>
    <w:p>
      <w:pPr>
        <w:pStyle w:val="ListParagraph"/>
        <w:numPr>
          <w:ilvl w:val="0"/>
          <w:numId w:val="3"/>
        </w:numPr>
        <w:jc w:val="both"/>
      </w:pPr>
      <w:r>
        <w:t xml:space="preserve">comparecer às consultas agendadas e seguir as orientações de uso dos alinhadores;</w:t>
      </w:r>
    </w:p>
    <w:p>
      <w:pPr>
        <w:pStyle w:val="ListParagraph"/>
        <w:numPr>
          <w:ilvl w:val="0"/>
          <w:numId w:val="3"/>
        </w:numPr>
        <w:jc w:val="both"/>
      </w:pPr>
      <w:r>
        <w:t xml:space="preserve">usar os alinhadores pelo tempo diário recomendado pelo profissional responsável;</w:t>
      </w:r>
    </w:p>
    <w:p>
      <w:pPr>
        <w:pStyle w:val="ListParagraph"/>
        <w:numPr>
          <w:ilvl w:val="0"/>
          <w:numId w:val="3"/>
        </w:numPr>
        <w:jc w:val="both"/>
      </w:pPr>
      <w:r>
        <w:t xml:space="preserve">comunicar imediatamente qualquer perda, quebra ou desconforto significativo;</w:t>
      </w:r>
    </w:p>
    <w:p>
      <w:pPr>
        <w:pStyle w:val="ListParagraph"/>
        <w:numPr>
          <w:ilvl w:val="0"/>
          <w:numId w:val="3"/>
        </w:numPr>
        <w:jc w:val="both"/>
      </w:pPr>
      <w:r>
        <w:t xml:space="preserve">manter os pagamentos em dia, conforme a Cláusula 4.</w:t>
      </w:r>
    </w:p>
    <w:p>
      <w:pPr>
        <w:pStyle w:val="Heading2"/>
      </w:pPr>
      <w:r>
        <w:t xml:space="preserve">7. Obrigações da Contratada</w:t>
      </w:r>
    </w:p>
    <w:p>
      <w:pPr>
        <w:pStyle w:val="ListParagraph"/>
        <w:numPr>
          <w:ilvl w:val="0"/>
          <w:numId w:val="3"/>
        </w:numPr>
        <w:jc w:val="both"/>
      </w:pPr>
      <w:r>
        <w:t xml:space="preserve">prestar o serviço com a técnica e o cuidado exigidos pela boa prática odontológica;</w:t>
      </w:r>
    </w:p>
    <w:p>
      <w:pPr>
        <w:pStyle w:val="ListParagraph"/>
        <w:numPr>
          <w:ilvl w:val="0"/>
          <w:numId w:val="3"/>
        </w:numPr>
        <w:jc w:val="both"/>
      </w:pPr>
      <w:r>
        <w:t xml:space="preserve">fornecer os alinhadores conforme o plano de tratamento aprovado;</w:t>
      </w:r>
    </w:p>
    <w:p>
      <w:pPr>
        <w:pStyle w:val="ListParagraph"/>
        <w:numPr>
          <w:ilvl w:val="0"/>
          <w:numId w:val="3"/>
        </w:numPr>
        <w:jc w:val="both"/>
      </w:pPr>
      <w:r>
        <w:t xml:space="preserve">informar o(a) Paciente sobre a evolução do tratamento e eventuais ajustes necessários;</w:t>
      </w:r>
    </w:p>
    <w:p>
      <w:pPr>
        <w:pStyle w:val="ListParagraph"/>
        <w:numPr>
          <w:ilvl w:val="0"/>
          <w:numId w:val="3"/>
        </w:numPr>
        <w:jc w:val="both"/>
      </w:pPr>
      <w:r>
        <w:t xml:space="preserve">manter sigilo sobre os dados e prontuário do(a) Paciente, nos termos da LGPD.</w:t>
      </w:r>
    </w:p>
    <w:p>
      <w:pPr>
        <w:pStyle w:val="Heading2"/>
      </w:pPr>
      <w:r>
        <w:t xml:space="preserve">8. Atraso e inadimplência</w:t>
      </w:r>
    </w:p>
    <w:p>
      <w:pPr>
        <w:jc w:val="both"/>
      </w:pPr>
      <w:r>
        <w:rPr>
          <w:b/>
          <w:bCs/>
        </w:rPr>
        <w:t xml:space="preserve">O atraso no pagamento de qualquer parcela sujeitará o(a) Paciente à multa de 2% (dois por cento) sobre o valor em atraso, acrescida de juros de mora de 1% (um por cento) ao mês, calculados pro rata die, sem prejuízo da correção monetária, nos limites da legislação aplicável.</w:t>
      </w:r>
    </w:p>
    <w:p>
      <w:pPr>
        <w:pStyle w:val="Heading2"/>
      </w:pPr>
      <w:r>
        <w:t xml:space="preserve">9. Rescisão e desistência</w:t>
      </w:r>
    </w:p>
    <w:p>
      <w:pPr>
        <w:jc w:val="both"/>
      </w:pPr>
      <w:r>
        <w:t xml:space="preserve">9.1. Caso a contratação tenha ocorrido fora do estabelecimento comercial (ex.: internet, telefone, domicílio), o(a) Paciente poderá exercer o direito de arrependimento em até 7 (sete) dias corridos a contar da assinatura, nos termos do art. 49 do Código de Defesa do Consumidor, com devolução integral dos valores eventualmente pagos.</w:t>
      </w:r>
    </w:p>
    <w:p>
      <w:pPr>
        <w:jc w:val="both"/>
      </w:pPr>
      <w:r>
        <w:rPr>
          <w:b/>
          <w:bCs/>
        </w:rPr>
        <w:t xml:space="preserve">9.2. Após esse prazo, a rescisão a pedido do(a) Paciente implicará o pagamento proporcional dos serviços já prestados e dos alinhadores já confeccionados ou em confecção até a data da rescisão, sendo restituído o saldo remanescente, se houver, em até 30 (trinta) dias.</w:t>
      </w:r>
    </w:p>
    <w:p>
      <w:pPr>
        <w:jc w:val="both"/>
      </w:pPr>
      <w:r>
        <w:t xml:space="preserve">9.3. A Contratada poderá rescindir o contrato em caso de descumprimento reiterado das orientações clínicas pelo(a) Paciente que inviabilize a continuidade segura do tratamento, mediante comunicação prévia por escrito.</w:t>
      </w:r>
    </w:p>
    <w:p>
      <w:pPr>
        <w:pStyle w:val="Heading2"/>
      </w:pPr>
      <w:r>
        <w:t xml:space="preserve">10. Uso de imagem</w:t>
      </w:r>
    </w:p>
    <w:p>
      <w:pPr>
        <w:jc w:val="both"/>
      </w:pPr>
      <w:r>
        <w:t xml:space="preserve">O uso de fotografias do(a) Paciente para fins de divulgação da Contratada é facultativo e depende de consentimento específico e destacado, a ser formalizado em termo apartado, podendo ser revogado a qualquer tempo pelo(a) Paciente. As fotos enviadas pela plataforma são usadas exclusivamente para avaliação e acompanhamento clínico.</w:t>
      </w:r>
    </w:p>
    <w:p>
      <w:pPr>
        <w:pStyle w:val="Heading2"/>
      </w:pPr>
      <w:r>
        <w:t xml:space="preserve">11. Proteção de dados (LGPD)</w:t>
      </w:r>
    </w:p>
    <w:p>
      <w:pPr>
        <w:jc w:val="both"/>
      </w:pPr>
      <w:r>
        <w:t xml:space="preserve">Os dados pessoais e de saúde do(a) Paciente serão tratados exclusivamente para as finalidades relacionadas à execução deste contrato, com as salvaguardas exigidas pela Lei nº 13.709/2018, podendo o(a) Paciente exercer os direitos previstos na referida lei mediante solicitação pelo e-mail contato@alignsystem.com.br.</w:t>
      </w:r>
    </w:p>
    <w:p>
      <w:pPr>
        <w:pStyle w:val="Heading2"/>
      </w:pPr>
      <w:r>
        <w:t xml:space="preserve">12. Assinatura eletrônica</w:t>
      </w:r>
    </w:p>
    <w:p>
      <w:pPr>
        <w:jc w:val="both"/>
      </w:pPr>
      <w:r>
        <w:t xml:space="preserve">As partes reconhecem a validade da contratação e da assinatura por meio eletrônico, com aceite registrado na plataforma AlignSystem (identificação do signatário, data, hora, endereço IP e código de integridade do documento), nos termos do art. 10, § 2º, da Medida Provisória nº 2.200-2/2001 e do art. 107 do Código Civil.</w:t>
      </w:r>
    </w:p>
    <w:p>
      <w:pPr>
        <w:pStyle w:val="Heading2"/>
      </w:pPr>
      <w:r>
        <w:t xml:space="preserve">13. Foro</w:t>
      </w:r>
    </w:p>
    <w:p>
      <w:pPr>
        <w:jc w:val="both"/>
      </w:pPr>
      <w:r>
        <w:t xml:space="preserve">Fica eleito o foro do domicílio do(a) Paciente para dirimir quaisquer questões oriundas deste contrato, em conformidade com o Código de Defesa do Consumidor.</w:t>
      </w:r>
    </w:p>
    <w:p>
      <w:pPr>
        <w:pStyle w:val="Heading2"/>
      </w:pPr>
      <w:r>
        <w:t xml:space="preserve">Anexo I — Plano de tratamento</w:t>
      </w:r>
    </w:p>
    <w:p>
      <w:pPr>
        <w:jc w:val="both"/>
      </w:pPr>
      <w:r>
        <w:rPr>
          <w:highlight w:val="yellow"/>
        </w:rPr>
        <w:t xml:space="preserve">[Resumo do plano de tratamento aprovado: número estimado de alinhadores, etapas e consultas de acompanhamento — preenchido caso a caso.]</w:t>
      </w:r>
    </w:p>
    <w:p>
      <w:pPr>
        <w:jc w:val="both"/>
      </w:pPr>
      <w:r>
        <w:rPr>
          <w:highlight w:val="yellow"/>
        </w:rPr>
        <w:t xml:space="preserve">[Cidade]</w:t>
      </w:r>
      <w:r>
        <w:t xml:space="preserve">, </w:t>
      </w:r>
      <w:r>
        <w:rPr>
          <w:highlight w:val="yellow"/>
        </w:rPr>
        <w:t xml:space="preserve">[data]</w:t>
      </w:r>
      <w:r>
        <w:t xml:space="preserve">.</w:t>
      </w:r>
    </w:p>
    <w:p>
      <w:pPr>
        <w:pStyle w:val="Heading2"/>
      </w:pPr>
      <w:r>
        <w:t xml:space="preserve">Assinaturas</w:t>
      </w:r>
    </w:p>
    <w:p>
      <w:pPr>
        <w:jc w:val="both"/>
      </w:pPr>
      <w:r>
        <w:t xml:space="preserve">Contratação por aceite eletrônico na plataforma AlignSystem. O sistema registra, ao final do documento: nome completo digitado, CPF/CNPJ, data e hora, endereço IP, navegador e código de integridade SHA-256 do texto aceito. Para assinatura física, utilizar as linhas abaixo.</w:t>
      </w:r>
    </w:p>
    <w:p>
      <w:pPr>
        <w:spacing w:before="480"/>
      </w:pPr>
      <w:r>
        <w:t xml:space="preserve">____________________________________________</w:t>
      </w:r>
    </w:p>
    <w:p>
      <w:r>
        <w:rPr>
          <w:highlight w:val="yellow"/>
        </w:rPr>
        <w:t xml:space="preserve">[Nome do(a) Paciente]</w:t>
      </w:r>
      <w:r>
        <w:t xml:space="preserve"> — CPF nº </w:t>
      </w:r>
      <w:r>
        <w:rPr>
          <w:highlight w:val="yellow"/>
        </w:rPr>
        <w:t xml:space="preserve">[•]</w:t>
      </w:r>
    </w:p>
    <w:p>
      <w:pPr>
        <w:spacing w:before="480"/>
      </w:pPr>
      <w:r>
        <w:t xml:space="preserve">____________________________________________</w:t>
      </w:r>
    </w:p>
    <w:p>
      <w:r>
        <w:t xml:space="preserve">AlignSystem — </w:t>
      </w:r>
      <w:r>
        <w:rPr>
          <w:highlight w:val="yellow"/>
        </w:rPr>
        <w:t xml:space="preserve">[representante legal]</w:t>
      </w:r>
    </w:p>
    <w:p>
      <w:pPr>
        <w:spacing w:before="480"/>
      </w:pPr>
      <w:r>
        <w:t xml:space="preserve">____________________________________________</w:t>
      </w:r>
    </w:p>
    <w:p>
      <w:r>
        <w:t xml:space="preserve">Responsável técnico — CRO-</w:t>
      </w:r>
      <w:r>
        <w:rPr>
          <w:highlight w:val="yellow"/>
        </w:rPr>
        <w:t xml:space="preserve">[UF]</w:t>
      </w:r>
      <w:r>
        <w:t xml:space="preserve"> nº </w:t>
      </w:r>
      <w:r>
        <w:rPr>
          <w:highlight w:val="yellow"/>
        </w:rPr>
        <w:t xml:space="preserve">[•]</w:t>
      </w:r>
    </w:p>
    <w:p>
      <w:pPr>
        <w:spacing w:before="480"/>
      </w:pPr>
      <w:r>
        <w:t xml:space="preserve">____________________________________________</w:t>
      </w:r>
    </w:p>
    <w:p>
      <w:r>
        <w:t xml:space="preserve">Testemunha 1 — CPF nº </w:t>
      </w:r>
      <w:r>
        <w:rPr>
          <w:highlight w:val="yellow"/>
        </w:rPr>
        <w:t xml:space="preserve">[•]</w:t>
      </w:r>
    </w:p>
    <w:p>
      <w:pPr>
        <w:spacing w:before="480"/>
      </w:pPr>
      <w:r>
        <w:t xml:space="preserve">____________________________________________</w:t>
      </w:r>
    </w:p>
    <w:p>
      <w:r>
        <w:t xml:space="preserve">Testemunha 2 — CPF nº </w:t>
      </w:r>
      <w:r>
        <w:rPr>
          <w:highlight w:val="yellow"/>
        </w:rPr>
        <w:t xml:space="preserve">[•]</w:t>
      </w:r>
    </w:p>
    <w:sectPr>
      <w:footerReference w:type="default" r:id="rId6"/>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Contrato de Tratamento — Paciente — minuta para revisão — página </w:t>
    </w:r>
    <w:r>
      <w:rPr>
        <w:color w:val="777777"/>
        <w:sz w:val="16"/>
        <w:szCs w:val="16"/>
      </w:rPr>
      <w:fldChar w:fldCharType="begin"/>
      <w:instrText xml:space="preserve">PAGE</w:instrText>
      <w:fldChar w:fldCharType="separate"/>
      <w:fldChar w:fldCharType="end"/>
    </w:r>
    <w:r>
      <w:rPr>
        <w:color w:val="777777"/>
        <w:sz w:val="16"/>
        <w:szCs w:val="16"/>
      </w:rPr>
      <w:t xml:space="preserve"> de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lowerLetter"/>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2233A"/>
      <w:sz w:val="28"/>
      <w:szCs w:val="28"/>
    </w:rPr>
  </w:style>
  <w:style w:type="paragraph" w:styleId="Heading2">
    <w:name w:val="Heading 2"/>
    <w:basedOn w:val="Normal"/>
    <w:next w:val="Normal"/>
    <w:qFormat/>
    <w:pPr>
      <w:keepNext/>
      <w:spacing w:after="100" w:before="220"/>
      <w:outlineLvl w:val="1"/>
    </w:pPr>
    <w:rPr>
      <w:b/>
      <w:bCs/>
      <w:color w:val="157A6E"/>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Tratamento — Paciente</dc:title>
  <dc:creator>AlignSystem</dc:creator>
  <cp:lastModifiedBy>Un-named</cp:lastModifiedBy>
  <cp:revision>1</cp:revision>
  <dcterms:created xsi:type="dcterms:W3CDTF">2026-09-28T19:08:37.405Z</dcterms:created>
  <dcterms:modified xsi:type="dcterms:W3CDTF">2026-09-28T19:08:37.405Z</dcterms:modified>
</cp:coreProperties>
</file>

<file path=docProps/custom.xml><?xml version="1.0" encoding="utf-8"?>
<Properties xmlns="http://schemas.openxmlformats.org/officeDocument/2006/custom-properties" xmlns:vt="http://schemas.openxmlformats.org/officeDocument/2006/docPropsVTypes"/>
</file>