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3650"/>
          <w:sz w:val="40"/>
          <w:szCs w:val="40"/>
        </w:rPr>
        <w:t xml:space="preserve">CSM TraceForce</w:t>
      </w:r>
    </w:p>
    <w:p>
      <w:pPr>
        <w:spacing w:after="40"/>
      </w:pPr>
      <w:r>
        <w:rPr>
          <w:b/>
          <w:bCs/>
          <w:color w:val="7D4A67"/>
          <w:sz w:val="30"/>
          <w:szCs w:val="30"/>
        </w:rPr>
        <w:t xml:space="preserve">Data Upload - CSV Specification and Instructions</w:t>
      </w:r>
    </w:p>
    <w:p>
      <w:pPr>
        <w:pBdr>
          <w:bottom w:val="single" w:color="C4708F" w:sz="6" w:space="6"/>
        </w:pBdr>
        <w:spacing w:after="240"/>
      </w:pPr>
      <w:r>
        <w:rPr>
          <w:i/>
          <w:iCs/>
          <w:color w:val="6F6673"/>
        </w:rPr>
        <w:t xml:space="preserve">The format for a message log uploaded to the application's Data tab, and how an analyst loads it.</w:t>
      </w:r>
    </w:p>
    <w:p>
      <w:pPr>
        <w:pStyle w:val="Heading1"/>
      </w:pPr>
      <w:r>
        <w:t xml:space="preserve">How to use the Data tab</w:t>
      </w:r>
    </w:p>
    <w:p>
      <w:pPr>
        <w:pStyle w:val="ListParagraph"/>
        <w:numPr>
          <w:ilvl w:val="0"/>
          <w:numId w:val="2"/>
        </w:numPr>
      </w:pPr>
      <w:r>
        <w:rPr>
          <w:b/>
          <w:bCs/>
        </w:rPr>
        <w:t xml:space="preserve">Upload a CSV</w:t>
      </w:r>
      <w:r>
        <w:t xml:space="preserve"> of messages, one row per message. A template with the right headers and example rows can be downloaded from the tab.</w:t>
      </w:r>
    </w:p>
    <w:p>
      <w:pPr>
        <w:pStyle w:val="ListParagraph"/>
        <w:numPr>
          <w:ilvl w:val="0"/>
          <w:numId w:val="2"/>
        </w:numPr>
      </w:pPr>
      <w:r>
        <w:rPr>
          <w:b/>
          <w:bCs/>
        </w:rPr>
        <w:t xml:space="preserve">Map your columns. </w:t>
      </w:r>
      <w:r>
        <w:t xml:space="preserve">For each field the app needs, pick the column in your file that holds it. The dropdowns pre-guess from your headers, so usually you only confirm. The five required fields are marked with an asterisk.</w:t>
      </w:r>
    </w:p>
    <w:p>
      <w:pPr>
        <w:pStyle w:val="ListParagraph"/>
        <w:numPr>
          <w:ilvl w:val="0"/>
          <w:numId w:val="2"/>
        </w:numPr>
      </w:pPr>
      <w:r>
        <w:rPr>
          <w:b/>
          <w:bCs/>
        </w:rPr>
        <w:t xml:space="preserve">Classify each channel. </w:t>
      </w:r>
      <w:r>
        <w:t xml:space="preserve">The app lists every channel found in your data. Mark each one as Monitored, Internal, or Public (see below). This is what decides whether a public post counts as a bypass.</w:t>
      </w:r>
    </w:p>
    <w:p>
      <w:pPr>
        <w:pStyle w:val="ListParagraph"/>
        <w:numPr>
          <w:ilvl w:val="0"/>
          <w:numId w:val="2"/>
        </w:numPr>
      </w:pPr>
      <w:r>
        <w:rPr>
          <w:b/>
          <w:bCs/>
        </w:rPr>
        <w:t xml:space="preserve">Check the validation panel. </w:t>
      </w:r>
      <w:r>
        <w:t xml:space="preserve">When every item is green, click Confirm and load data. The other tabs then analyse the uploaded dataset.</w:t>
      </w:r>
    </w:p>
    <w:p>
      <w:pPr>
        <w:pStyle w:val="Heading1"/>
      </w:pPr>
      <w:r>
        <w:t xml:space="preserve">Format</w:t>
      </w:r>
    </w:p>
    <w:p>
      <w:pPr>
        <w:spacing w:after="120"/>
      </w:pPr>
      <w:r>
        <w:t xml:space="preserve">A UTF-8 CSV file with one row per message. The application derives the rounds table and the agent-to-agent network from this single file, so only one file is needed.</w:t>
      </w:r>
    </w:p>
    <w:p>
      <w:pPr>
        <w:pStyle w:val="Heading1"/>
      </w:pPr>
      <w:r>
        <w:t xml:space="preserve">Required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E8C4D4" w:sz="1"/>
              <w:left w:val="single" w:color="E8C4D4" w:sz="1"/>
              <w:bottom w:val="single" w:color="E8C4D4" w:sz="1"/>
              <w:right w:val="single" w:color="E8C4D4" w:sz="1"/>
            </w:tcBorders>
            <w:shd w:fill="F6E8F0" w:val="clear"/>
            <w:tcMar>
              <w:top w:type="dxa" w:w="60"/>
              <w:left w:type="dxa" w:w="120"/>
              <w:bottom w:type="dxa" w:w="60"/>
              <w:right w:type="dxa" w:w="120"/>
            </w:tcMar>
          </w:tcPr>
          <w:p>
            <w:r>
              <w:rPr>
                <w:rFonts w:ascii="Arial" w:cs="Arial" w:eastAsia="Arial" w:hAnsi="Arial"/>
                <w:b/>
                <w:bCs/>
              </w:rPr>
              <w:t xml:space="preserve">Column</w:t>
            </w:r>
          </w:p>
        </w:tc>
        <w:tc>
          <w:tcPr>
            <w:tcW w:type="dxa" w:w="1500"/>
            <w:tcBorders>
              <w:top w:val="single" w:color="E8C4D4" w:sz="1"/>
              <w:left w:val="single" w:color="E8C4D4" w:sz="1"/>
              <w:bottom w:val="single" w:color="E8C4D4" w:sz="1"/>
              <w:right w:val="single" w:color="E8C4D4" w:sz="1"/>
            </w:tcBorders>
            <w:shd w:fill="F6E8F0" w:val="clear"/>
            <w:tcMar>
              <w:top w:type="dxa" w:w="60"/>
              <w:left w:type="dxa" w:w="120"/>
              <w:bottom w:type="dxa" w:w="60"/>
              <w:right w:type="dxa" w:w="120"/>
            </w:tcMar>
          </w:tcPr>
          <w:p>
            <w:r>
              <w:rPr>
                <w:rFonts w:ascii="Arial" w:cs="Arial" w:eastAsia="Arial" w:hAnsi="Arial"/>
                <w:b/>
                <w:bCs/>
              </w:rPr>
              <w:t xml:space="preserve">Type</w:t>
            </w:r>
          </w:p>
        </w:tc>
        <w:tc>
          <w:tcPr>
            <w:tcW w:type="dxa" w:w="5260"/>
            <w:tcBorders>
              <w:top w:val="single" w:color="E8C4D4" w:sz="1"/>
              <w:left w:val="single" w:color="E8C4D4" w:sz="1"/>
              <w:bottom w:val="single" w:color="E8C4D4" w:sz="1"/>
              <w:right w:val="single" w:color="E8C4D4" w:sz="1"/>
            </w:tcBorders>
            <w:shd w:fill="F6E8F0" w:val="clear"/>
            <w:tcMar>
              <w:top w:type="dxa" w:w="60"/>
              <w:left w:type="dxa" w:w="120"/>
              <w:bottom w:type="dxa" w:w="60"/>
              <w:right w:type="dxa" w:w="120"/>
            </w:tcMar>
          </w:tcPr>
          <w:p>
            <w:r>
              <w:rPr>
                <w:rFonts w:ascii="Arial" w:cs="Arial" w:eastAsia="Arial" w:hAnsi="Arial"/>
                <w:b/>
                <w:bCs/>
              </w:rPr>
              <w:t xml:space="preserve">Meaning</w:t>
            </w:r>
          </w:p>
        </w:tc>
      </w:tr>
      <w:tr>
        <w:tc>
          <w:tcPr>
            <w:tcW w:type="dxa" w:w="26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Consolas" w:cs="Consolas" w:eastAsia="Consolas" w:hAnsi="Consolas"/>
                <w:b w:val="false"/>
                <w:bCs w:val="false"/>
              </w:rPr>
              <w:t xml:space="preserve">round_idx</w:t>
            </w:r>
          </w:p>
        </w:tc>
        <w:tc>
          <w:tcPr>
            <w:tcW w:type="dxa" w:w="15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integer</w:t>
            </w:r>
          </w:p>
        </w:tc>
        <w:tc>
          <w:tcPr>
            <w:tcW w:type="dxa" w:w="526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The round or time step the message belongs to. Rounds order the timeline.</w:t>
            </w:r>
          </w:p>
        </w:tc>
      </w:tr>
      <w:tr>
        <w:tc>
          <w:tcPr>
            <w:tcW w:type="dxa" w:w="26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Consolas" w:cs="Consolas" w:eastAsia="Consolas" w:hAnsi="Consolas"/>
                <w:b w:val="false"/>
                <w:bCs w:val="false"/>
              </w:rPr>
              <w:t xml:space="preserve">agent_id</w:t>
            </w:r>
          </w:p>
        </w:tc>
        <w:tc>
          <w:tcPr>
            <w:tcW w:type="dxa" w:w="15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text</w:t>
            </w:r>
          </w:p>
        </w:tc>
        <w:tc>
          <w:tcPr>
            <w:tcW w:type="dxa" w:w="526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The sender's identifier. Reused consistently across the file.</w:t>
            </w:r>
          </w:p>
        </w:tc>
      </w:tr>
      <w:tr>
        <w:tc>
          <w:tcPr>
            <w:tcW w:type="dxa" w:w="26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Consolas" w:cs="Consolas" w:eastAsia="Consolas" w:hAnsi="Consolas"/>
                <w:b w:val="false"/>
                <w:bCs w:val="false"/>
              </w:rPr>
              <w:t xml:space="preserve">channel</w:t>
            </w:r>
          </w:p>
        </w:tc>
        <w:tc>
          <w:tcPr>
            <w:tcW w:type="dxa" w:w="15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text</w:t>
            </w:r>
          </w:p>
        </w:tc>
        <w:tc>
          <w:tcPr>
            <w:tcW w:type="dxa" w:w="526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The channel the message was sent on.</w:t>
            </w:r>
          </w:p>
        </w:tc>
      </w:tr>
      <w:tr>
        <w:tc>
          <w:tcPr>
            <w:tcW w:type="dxa" w:w="26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Consolas" w:cs="Consolas" w:eastAsia="Consolas" w:hAnsi="Consolas"/>
                <w:b w:val="false"/>
                <w:bCs w:val="false"/>
              </w:rPr>
              <w:t xml:space="preserve">recipients</w:t>
            </w:r>
          </w:p>
        </w:tc>
        <w:tc>
          <w:tcPr>
            <w:tcW w:type="dxa" w:w="15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text</w:t>
            </w:r>
          </w:p>
        </w:tc>
        <w:tc>
          <w:tcPr>
            <w:tcW w:type="dxa" w:w="526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Recipient ids separated by a semicolon, or ALL for a broadcast. Ids must match agent_id values.</w:t>
            </w:r>
          </w:p>
        </w:tc>
      </w:tr>
      <w:tr>
        <w:tc>
          <w:tcPr>
            <w:tcW w:type="dxa" w:w="26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Consolas" w:cs="Consolas" w:eastAsia="Consolas" w:hAnsi="Consolas"/>
                <w:b w:val="false"/>
                <w:bCs w:val="false"/>
              </w:rPr>
              <w:t xml:space="preserve">content</w:t>
            </w:r>
          </w:p>
        </w:tc>
        <w:tc>
          <w:tcPr>
            <w:tcW w:type="dxa" w:w="15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text</w:t>
            </w:r>
          </w:p>
        </w:tc>
        <w:tc>
          <w:tcPr>
            <w:tcW w:type="dxa" w:w="526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The visible message text.</w:t>
            </w:r>
          </w:p>
        </w:tc>
      </w:tr>
    </w:tbl>
    <w:p>
      <w:pPr>
        <w:pStyle w:val="Heading1"/>
      </w:pPr>
      <w:r>
        <w:t xml:space="preserve">Optional columns</w:t>
      </w:r>
    </w:p>
    <w:p>
      <w:pPr>
        <w:spacing w:after="120"/>
      </w:pPr>
      <w:r>
        <w:t xml:space="preserve">Used if present, skipped if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E8C4D4" w:sz="1"/>
              <w:left w:val="single" w:color="E8C4D4" w:sz="1"/>
              <w:bottom w:val="single" w:color="E8C4D4" w:sz="1"/>
              <w:right w:val="single" w:color="E8C4D4" w:sz="1"/>
            </w:tcBorders>
            <w:shd w:fill="F6E8F0" w:val="clear"/>
            <w:tcMar>
              <w:top w:type="dxa" w:w="60"/>
              <w:left w:type="dxa" w:w="120"/>
              <w:bottom w:type="dxa" w:w="60"/>
              <w:right w:type="dxa" w:w="120"/>
            </w:tcMar>
          </w:tcPr>
          <w:p>
            <w:r>
              <w:rPr>
                <w:rFonts w:ascii="Arial" w:cs="Arial" w:eastAsia="Arial" w:hAnsi="Arial"/>
                <w:b/>
                <w:bCs/>
              </w:rPr>
              <w:t xml:space="preserve">Column</w:t>
            </w:r>
          </w:p>
        </w:tc>
        <w:tc>
          <w:tcPr>
            <w:tcW w:type="dxa" w:w="1500"/>
            <w:tcBorders>
              <w:top w:val="single" w:color="E8C4D4" w:sz="1"/>
              <w:left w:val="single" w:color="E8C4D4" w:sz="1"/>
              <w:bottom w:val="single" w:color="E8C4D4" w:sz="1"/>
              <w:right w:val="single" w:color="E8C4D4" w:sz="1"/>
            </w:tcBorders>
            <w:shd w:fill="F6E8F0" w:val="clear"/>
            <w:tcMar>
              <w:top w:type="dxa" w:w="60"/>
              <w:left w:type="dxa" w:w="120"/>
              <w:bottom w:type="dxa" w:w="60"/>
              <w:right w:type="dxa" w:w="120"/>
            </w:tcMar>
          </w:tcPr>
          <w:p>
            <w:r>
              <w:rPr>
                <w:rFonts w:ascii="Arial" w:cs="Arial" w:eastAsia="Arial" w:hAnsi="Arial"/>
                <w:b/>
                <w:bCs/>
              </w:rPr>
              <w:t xml:space="preserve">Type</w:t>
            </w:r>
          </w:p>
        </w:tc>
        <w:tc>
          <w:tcPr>
            <w:tcW w:type="dxa" w:w="5260"/>
            <w:tcBorders>
              <w:top w:val="single" w:color="E8C4D4" w:sz="1"/>
              <w:left w:val="single" w:color="E8C4D4" w:sz="1"/>
              <w:bottom w:val="single" w:color="E8C4D4" w:sz="1"/>
              <w:right w:val="single" w:color="E8C4D4" w:sz="1"/>
            </w:tcBorders>
            <w:shd w:fill="F6E8F0" w:val="clear"/>
            <w:tcMar>
              <w:top w:type="dxa" w:w="60"/>
              <w:left w:type="dxa" w:w="120"/>
              <w:bottom w:type="dxa" w:w="60"/>
              <w:right w:type="dxa" w:w="120"/>
            </w:tcMar>
          </w:tcPr>
          <w:p>
            <w:r>
              <w:rPr>
                <w:rFonts w:ascii="Arial" w:cs="Arial" w:eastAsia="Arial" w:hAnsi="Arial"/>
                <w:b/>
                <w:bCs/>
              </w:rPr>
              <w:t xml:space="preserve">Meaning</w:t>
            </w:r>
          </w:p>
        </w:tc>
      </w:tr>
      <w:tr>
        <w:tc>
          <w:tcPr>
            <w:tcW w:type="dxa" w:w="26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Consolas" w:cs="Consolas" w:eastAsia="Consolas" w:hAnsi="Consolas"/>
                <w:b w:val="false"/>
                <w:bCs w:val="false"/>
              </w:rPr>
              <w:t xml:space="preserve">reacting</w:t>
            </w:r>
          </w:p>
        </w:tc>
        <w:tc>
          <w:tcPr>
            <w:tcW w:type="dxa" w:w="15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text</w:t>
            </w:r>
          </w:p>
        </w:tc>
        <w:tc>
          <w:tcPr>
            <w:tcW w:type="dxa" w:w="526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The agent's private reaction to the moment.</w:t>
            </w:r>
          </w:p>
        </w:tc>
      </w:tr>
      <w:tr>
        <w:tc>
          <w:tcPr>
            <w:tcW w:type="dxa" w:w="26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Consolas" w:cs="Consolas" w:eastAsia="Consolas" w:hAnsi="Consolas"/>
                <w:b w:val="false"/>
                <w:bCs w:val="false"/>
              </w:rPr>
              <w:t xml:space="preserve">rationalizing</w:t>
            </w:r>
          </w:p>
        </w:tc>
        <w:tc>
          <w:tcPr>
            <w:tcW w:type="dxa" w:w="15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text</w:t>
            </w:r>
          </w:p>
        </w:tc>
        <w:tc>
          <w:tcPr>
            <w:tcW w:type="dxa" w:w="526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The agent's private justification of its choice.</w:t>
            </w:r>
          </w:p>
        </w:tc>
      </w:tr>
      <w:tr>
        <w:tc>
          <w:tcPr>
            <w:tcW w:type="dxa" w:w="26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Consolas" w:cs="Consolas" w:eastAsia="Consolas" w:hAnsi="Consolas"/>
                <w:b w:val="false"/>
                <w:bCs w:val="false"/>
              </w:rPr>
              <w:t xml:space="preserve">deliberating</w:t>
            </w:r>
          </w:p>
        </w:tc>
        <w:tc>
          <w:tcPr>
            <w:tcW w:type="dxa" w:w="15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text</w:t>
            </w:r>
          </w:p>
        </w:tc>
        <w:tc>
          <w:tcPr>
            <w:tcW w:type="dxa" w:w="526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The agent's private weighing of options.</w:t>
            </w:r>
          </w:p>
        </w:tc>
      </w:tr>
      <w:tr>
        <w:tc>
          <w:tcPr>
            <w:tcW w:type="dxa" w:w="26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Consolas" w:cs="Consolas" w:eastAsia="Consolas" w:hAnsi="Consolas"/>
                <w:b w:val="false"/>
                <w:bCs w:val="false"/>
              </w:rPr>
              <w:t xml:space="preserve">timestamp</w:t>
            </w:r>
          </w:p>
        </w:tc>
        <w:tc>
          <w:tcPr>
            <w:tcW w:type="dxa" w:w="150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datetime</w:t>
            </w:r>
          </w:p>
        </w:tc>
        <w:tc>
          <w:tcPr>
            <w:tcW w:type="dxa" w:w="5260"/>
            <w:tcBorders>
              <w:top w:val="single" w:color="E8C4D4" w:sz="1"/>
              <w:left w:val="single" w:color="E8C4D4" w:sz="1"/>
              <w:bottom w:val="single" w:color="E8C4D4" w:sz="1"/>
              <w:right w:val="single" w:color="E8C4D4" w:sz="1"/>
            </w:tcBorders>
            <w:tcMar>
              <w:top w:type="dxa" w:w="60"/>
              <w:left w:type="dxa" w:w="120"/>
              <w:bottom w:type="dxa" w:w="60"/>
              <w:right w:type="dxa" w:w="120"/>
            </w:tcMar>
          </w:tcPr>
          <w:p>
            <w:r>
              <w:rPr>
                <w:rFonts w:ascii="Arial" w:cs="Arial" w:eastAsia="Arial" w:hAnsi="Arial"/>
                <w:b w:val="false"/>
                <w:bCs w:val="false"/>
              </w:rPr>
              <w:t xml:space="preserve">A precise time for the message, if finer than the round.</w:t>
            </w:r>
          </w:p>
        </w:tc>
      </w:tr>
    </w:tbl>
    <w:p>
      <w:pPr>
        <w:pStyle w:val="Heading1"/>
      </w:pPr>
      <w:r>
        <w:t xml:space="preserve">Mapping your columns</w:t>
      </w:r>
    </w:p>
    <w:p>
      <w:pPr>
        <w:spacing w:after="120"/>
      </w:pPr>
      <w:r>
        <w:t xml:space="preserve">Your file does not need the exact column names above. On upload, the analyst maps each canonical field to a column in their file, so a column called sender can map to agent_id, or body to content. Each dropdown lists the file's headers and pre-selects a best guess from the name. Confirm the five required fields and adjust any that are wrong; optional fields can be left as none.</w:t>
      </w:r>
    </w:p>
    <w:p>
      <w:pPr>
        <w:pStyle w:val="Heading1"/>
      </w:pPr>
      <w:r>
        <w:t xml:space="preserve">Classifying channels</w:t>
      </w:r>
    </w:p>
    <w:p>
      <w:pPr>
        <w:spacing w:after="120"/>
      </w:pPr>
      <w:r>
        <w:t xml:space="preserve">The analysis depends on which channels the compliance monitor can see, which is specific to each dataset and cannot be guessed. After the file is read, the app detects the distinct channels and the analyst tags each one:</w:t>
      </w:r>
    </w:p>
    <w:p>
      <w:pPr>
        <w:pStyle w:val="ListParagraph"/>
        <w:numPr>
          <w:ilvl w:val="0"/>
          <w:numId w:val="3"/>
        </w:numPr>
      </w:pPr>
      <w:r>
        <w:t xml:space="preserve">Monitored: the compliance monitor (the Judge) can see this channel.</w:t>
      </w:r>
    </w:p>
    <w:p>
      <w:pPr>
        <w:pStyle w:val="ListParagraph"/>
        <w:numPr>
          <w:ilvl w:val="0"/>
          <w:numId w:val="3"/>
        </w:numPr>
      </w:pPr>
      <w:r>
        <w:t xml:space="preserve">Internal: private to the team but not watched by the monitor.</w:t>
      </w:r>
    </w:p>
    <w:p>
      <w:pPr>
        <w:pStyle w:val="ListParagraph"/>
        <w:numPr>
          <w:ilvl w:val="0"/>
          <w:numId w:val="3"/>
        </w:numPr>
      </w:pPr>
      <w:r>
        <w:t xml:space="preserve">Public: reaches the outside world.</w:t>
      </w:r>
    </w:p>
    <w:p>
      <w:pPr>
        <w:spacing w:after="120"/>
      </w:pPr>
      <w:r>
        <w:t xml:space="preserve">A bypass is a post on a Public or Internal channel with no Monitored trace. This classification builds the channel accountability ladder that the bypass and abnormality signals rely on, so at least one channel must be marked Monitored.</w:t>
      </w:r>
    </w:p>
    <w:p>
      <w:pPr>
        <w:pStyle w:val="Heading1"/>
      </w:pPr>
      <w:r>
        <w:t xml:space="preserve">Other on-upload detail</w:t>
      </w:r>
    </w:p>
    <w:p>
      <w:pPr>
        <w:pStyle w:val="ListParagraph"/>
        <w:numPr>
          <w:ilvl w:val="0"/>
          <w:numId w:val="3"/>
        </w:numPr>
      </w:pPr>
      <w:r>
        <w:t xml:space="preserve">Agent roster: detected automatically from agent_id, then confirmed.</w:t>
      </w:r>
    </w:p>
    <w:p>
      <w:pPr>
        <w:spacing w:after="120"/>
      </w:pPr>
      <w:r>
        <w:t xml:space="preserve">The calm-versus-suspect baseline is not set here. It is chosen by the analyst on the Activity tab; the app simply starts it at a sensible default derived from the length of the data.</w:t>
      </w:r>
    </w:p>
    <w:p>
      <w:pPr>
        <w:pStyle w:val="Heading1"/>
      </w:pPr>
      <w:r>
        <w:t xml:space="preserve">Validation</w:t>
      </w:r>
    </w:p>
    <w:p>
      <w:pPr>
        <w:spacing w:after="120"/>
      </w:pPr>
      <w:r>
        <w:t xml:space="preserve">The upload is accepted only when:</w:t>
      </w:r>
    </w:p>
    <w:p>
      <w:pPr>
        <w:pStyle w:val="ListParagraph"/>
        <w:numPr>
          <w:ilvl w:val="0"/>
          <w:numId w:val="3"/>
        </w:numPr>
      </w:pPr>
      <w:r>
        <w:t xml:space="preserve">The file has rows and every round_idx is numeric.</w:t>
      </w:r>
    </w:p>
    <w:p>
      <w:pPr>
        <w:pStyle w:val="ListParagraph"/>
        <w:numPr>
          <w:ilvl w:val="0"/>
          <w:numId w:val="3"/>
        </w:numPr>
      </w:pPr>
      <w:r>
        <w:t xml:space="preserve">There are at least two distinct agents and two distinct channels.</w:t>
      </w:r>
    </w:p>
    <w:p>
      <w:pPr>
        <w:pStyle w:val="ListParagraph"/>
        <w:numPr>
          <w:ilvl w:val="0"/>
          <w:numId w:val="3"/>
        </w:numPr>
      </w:pPr>
      <w:r>
        <w:t xml:space="preserve">Most rows carry message text.</w:t>
      </w:r>
    </w:p>
    <w:p>
      <w:pPr>
        <w:pStyle w:val="ListParagraph"/>
        <w:numPr>
          <w:ilvl w:val="0"/>
          <w:numId w:val="3"/>
        </w:numPr>
      </w:pPr>
      <w:r>
        <w:t xml:space="preserve">Every channel has been classified, and at least one channel is marked Monitored.</w:t>
      </w:r>
    </w:p>
    <w:p>
      <w:pPr>
        <w:spacing w:after="120"/>
      </w:pPr>
      <w:r>
        <w:t xml:space="preserve">Until the data passes, the analysis tabs stay disabled. A preview of the first rows, mapped to the canonical schema, is shown alongside the checklist.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5B36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2026-06-13T05:03:57.977Z</dcterms:created>
  <dcterms:modified xsi:type="dcterms:W3CDTF">2026-06-13T05:03:57.977Z</dcterms:modified>
</cp:coreProperties>
</file>

<file path=docProps/custom.xml><?xml version="1.0" encoding="utf-8"?>
<Properties xmlns="http://schemas.openxmlformats.org/officeDocument/2006/custom-properties" xmlns:vt="http://schemas.openxmlformats.org/officeDocument/2006/docPropsVTypes"/>
</file>