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BOM é bom mesmo?!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Continuando os trabalhos do BOM, os analistas Time e Stamp encontraram a seguinte dificuldade: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410200" cy="201148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500" y="-241725"/>
                          <a:ext cx="5410200" cy="2011485"/>
                          <a:chOff x="202500" y="-241725"/>
                          <a:chExt cx="5924325" cy="26850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900400" y="257175"/>
                            <a:ext cx="1057200" cy="4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Produto 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31175" y="990600"/>
                            <a:ext cx="10572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Unidade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083725" y="990600"/>
                            <a:ext cx="12048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Unidades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583875" y="990600"/>
                            <a:ext cx="11238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 Unidades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003025" y="990600"/>
                            <a:ext cx="11238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Unidades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2196600" y="-241725"/>
                            <a:ext cx="295500" cy="21693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2909850" y="471525"/>
                            <a:ext cx="295500" cy="7428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3639600" y="484575"/>
                            <a:ext cx="295500" cy="7167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4349250" y="-225075"/>
                            <a:ext cx="295500" cy="21360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02500" y="1890700"/>
                            <a:ext cx="10572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Unidade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259700" y="1890700"/>
                            <a:ext cx="10572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Unidade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583875" y="1890700"/>
                            <a:ext cx="11238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 Unidades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460075" y="1890700"/>
                            <a:ext cx="11238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 Unidades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784250" y="1890700"/>
                            <a:ext cx="11238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 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 Unidades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821775" y="1452600"/>
                            <a:ext cx="347400" cy="528600"/>
                          </a:xfrm>
                          <a:prstGeom prst="bentConnector3">
                            <a:avLst>
                              <a:gd fmla="val 5001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1350375" y="1452600"/>
                            <a:ext cx="347400" cy="528600"/>
                          </a:xfrm>
                          <a:prstGeom prst="bentConnector3">
                            <a:avLst>
                              <a:gd fmla="val 5001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3972375" y="1716600"/>
                            <a:ext cx="347400" cy="600"/>
                          </a:xfrm>
                          <a:prstGeom prst="bentConnector3">
                            <a:avLst>
                              <a:gd fmla="val 5001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3410175" y="1155000"/>
                            <a:ext cx="347400" cy="1123800"/>
                          </a:xfrm>
                          <a:prstGeom prst="bentConnector3">
                            <a:avLst>
                              <a:gd fmla="val 5001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4572225" y="1116750"/>
                            <a:ext cx="347400" cy="1200300"/>
                          </a:xfrm>
                          <a:prstGeom prst="bentConnector3">
                            <a:avLst>
                              <a:gd fmla="val 5001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10200" cy="201148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20114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Um "Produto Y" é composto de 4 itens: 1 "Item A", 2 "Item B", 3 "Item C" e 4 "Item D". Mas para 1 "Item A" são necessários: 1 "Item E" e 1 "Item F"; para 3 "Item C" são necessários 3 "Item G", 3 "Item H" e 3 "Item I". O analista Time pegou a seguinte lista dos itens descritos: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R$ 2,25 por unidade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R$ 1,00 por unidade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R$ 0,75 por unidade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R$ 1,15 por unidade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R$ 0,45 por unidade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R$ 1,15 por unidade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R$ 0,75 por unidade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O analista Time já teve sua dúvida: "Como eu calculo o Item A e o Item C?". O analista Stamp disse depois: "Muito fácil, muito fácil, meu caro! Some os subitens de cada um, que você irá obter o valor final do Item A e do Item C!"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Stamp logo complementou: "Mas você terá somente estes subníveis, ou seja, 2 níveis."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Time já disse: "Ufa, mas isso vai dar trabalho!".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"É para isso que estamos aqui!", disse Stamp.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"Já ia me esquecendo, mas dessa vez, precisamos inserir produtos e itens diferentes. Além de viabilizar uma quantidade máxima de 5 subitens no segundo nível", disse Stamp.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"Puxa, agora ferrou!", disse Time.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"Mãos-a-obra!", disse Stamp.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"Pense que na próxima semana estaremos livres disso!", disse Stamp.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"Graças a Deus", disse Time.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700.7874015748032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Visual w:val="0"/>
      <w:tblW w:w="963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110"/>
      <w:gridCol w:w="7365"/>
      <w:gridCol w:w="1155"/>
      <w:tblGridChange w:id="0">
        <w:tblGrid>
          <w:gridCol w:w="1110"/>
          <w:gridCol w:w="7365"/>
          <w:gridCol w:w="11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32538" cy="532538"/>
                <wp:effectExtent b="0" l="0" r="0" t="0"/>
                <wp:docPr descr="brasc3a3o-brasil.png" id="2" name="image03.png"/>
                <a:graphic>
                  <a:graphicData uri="http://schemas.openxmlformats.org/drawingml/2006/picture">
                    <pic:pic>
                      <pic:nvPicPr>
                        <pic:cNvPr descr="brasc3a3o-brasil.png"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38" cy="532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Ministério da Educação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Universidade Federal de Itajubá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Criada pela Lei nº 10.435, de 24 de abril de 2002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61112" cy="561112"/>
                <wp:effectExtent b="0" l="0" r="0" t="0"/>
                <wp:docPr descr="LogoEFEItrans.gif" id="1" name="image02.gif"/>
                <a:graphic>
                  <a:graphicData uri="http://schemas.openxmlformats.org/drawingml/2006/picture">
                    <pic:pic>
                      <pic:nvPicPr>
                        <pic:cNvPr descr="LogoEFEItrans.gif" id="0" name="image02.gif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112" cy="561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2.gif"/></Relationships>
</file>