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工银牧融</w:t>
      </w:r>
    </w:p>
    <w:p>
      <w:pPr>
        <w:pStyle w:val="Subtitle"/>
      </w:pPr>
      <w:r>
        <w:t xml:space="preserve">高原畜牧绿色金融风险评估与贷后管理平台</w:t>
      </w:r>
    </w:p>
    <w:p>
      <w:pPr>
        <w:pStyle w:val="Subtitle"/>
      </w:pPr>
      <w:r>
        <w:t xml:space="preserve">新版答辩说明书</w:t>
      </w:r>
    </w:p>
    <w:p>
      <w:r>
        <w:t xml:space="preserve">面向工行杯比赛场景，融合气象遥感、经营主体、工行授信、还款逾期、保险协同和绿色绩效数据，为工行绿色信贷提供可解释的风险评估、贷后预警和处置建议。</w:t>
      </w:r>
    </w:p>
    <w:p>
      <w:r>
        <w:t xml:space="preserve">生成时间：2026-05-30 06:36</w:t>
      </w:r>
    </w:p>
    <w:p>
      <w:r>
        <w:t xml:space="preserve">说明：本文档依据当前本地 yak-risk-platform 系统功能与数据状态整理；其中经营主体、授信、保险、产业链、处置流程为脱敏样例数据，风险标签为 demo/规则弱标签，不表述为真实生产监督学习结论。</w:t>
      </w:r>
    </w:p>
    <w:p>
      <w:pPr>
        <w:pStyle w:val="Heading1"/>
      </w:pPr>
      <w:r>
        <w:t xml:space="preserve">一、项目一句话定位</w:t>
      </w:r>
    </w:p>
    <w:p>
      <w:r>
        <w:t xml:space="preserve">工银牧融不是普通的高原畜牧展示平台，而是以工商银行绿色金融服务为主体，面向高原牧区客户经理、风控人员和管理人员的绿色信贷风险评估与贷后管理系统。</w:t>
      </w:r>
    </w:p>
    <w:p>
      <w:r>
        <w:t xml:space="preserve">系统围绕“贷前准入、额度判断、贷后监测、风险处置、银保协同、绿色绩效评价”构建闭环，让公开环境数据和银行业务数据能够进入同一个风险工作台。</w:t>
      </w:r>
    </w:p>
    <w:p>
      <w:pPr>
        <w:pStyle w:val="Heading1"/>
      </w:pPr>
      <w:r>
        <w:t xml:space="preserve">二、为什么做这个项目</w:t>
      </w:r>
    </w:p>
    <w:p>
      <w:pPr>
        <w:pStyle w:val="ListParagraph"/>
        <w:numPr>
          <w:ilvl w:val="0"/>
          <w:numId w:val="1"/>
        </w:numPr>
      </w:pPr>
      <w:r>
        <w:t>高原牧区金融服务面临信息不对称：气象灾害、草地退化、饲草供需、主体经营和还款行为分散在不同系统中。</w:t>
      </w:r>
    </w:p>
    <w:p>
      <w:pPr>
        <w:pStyle w:val="ListParagraph"/>
        <w:numPr>
          <w:ilvl w:val="0"/>
          <w:numId w:val="1"/>
        </w:numPr>
      </w:pPr>
      <w:r>
        <w:t>传统信贷流程依赖材料和人工经验，难以及时把寒潮、积雪、NDVI 变化、逾期苗头等证据转化为贷后动作。</w:t>
      </w:r>
    </w:p>
    <w:p>
      <w:pPr>
        <w:pStyle w:val="ListParagraph"/>
        <w:numPr>
          <w:ilvl w:val="0"/>
          <w:numId w:val="1"/>
        </w:numPr>
      </w:pPr>
      <w:r>
        <w:t>绿色金融不仅要放款，还要证明资金支持了绿色生产、生态改善、普惠覆盖和风险减量。</w:t>
      </w:r>
    </w:p>
    <w:p>
      <w:pPr>
        <w:pStyle w:val="ListParagraph"/>
        <w:numPr>
          <w:ilvl w:val="0"/>
          <w:numId w:val="1"/>
        </w:numPr>
      </w:pPr>
      <w:r>
        <w:t>比赛答辩需要突出工行角色，因此系统把页面从展示看板改成工行绿色信贷风险评估工作台。</w:t>
      </w:r>
    </w:p>
    <w:p>
      <w:pPr>
        <w:pStyle w:val="Heading1"/>
      </w:pPr>
      <w:r>
        <w:t xml:space="preserve">三、系统总体架构</w:t>
      </w:r>
    </w:p>
    <w:tbl>
      <w:tblPr>
        <w:tblStyle w:val="TableGrid"/>
        <w:tblW w:w="0" w:type="auto"/>
        <w:tblLook w:val="04A0"/>
      </w:tblPr>
      <w:tr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技术与内容</w:t>
            </w:r>
          </w:p>
        </w:tc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前端展示层</w:t>
            </w:r>
          </w:p>
        </w:tc>
        <w:tc>
          <w:tcPr>
            <w:tcW w:w="2400" w:type="dxa"/>
          </w:tcPr>
          <w:p>
            <w:r>
              <w:t xml:space="preserve">Vue 3 + ECharts + 原生 CSS</w:t>
            </w:r>
          </w:p>
        </w:tc>
        <w:tc>
          <w:tcPr>
            <w:tcW w:w="2400" w:type="dxa"/>
          </w:tcPr>
          <w:p>
            <w:r>
              <w:t xml:space="preserve">构建首页、风险评估工作台、数据底座、绿色绩效、边疆民生、管理端等页面</w:t>
            </w:r>
          </w:p>
        </w:tc>
      </w:tr>
      <w:tr>
        <w:tc>
          <w:tcPr>
            <w:tcW w:w="2400" w:type="dxa"/>
          </w:tcPr>
          <w:p>
            <w:r>
              <w:t xml:space="preserve">后端服务层</w:t>
            </w:r>
          </w:p>
        </w:tc>
        <w:tc>
          <w:tcPr>
            <w:tcW w:w="2400" w:type="dxa"/>
          </w:tcPr>
          <w:p>
            <w:r>
              <w:t xml:space="preserve">Python FastAPI</w:t>
            </w:r>
          </w:p>
        </w:tc>
        <w:tc>
          <w:tcPr>
            <w:tcW w:w="2400" w:type="dxa"/>
          </w:tcPr>
          <w:p>
            <w:r>
              <w:t xml:space="preserve">提供平台数据、模型预测、CSV 导入、图片上传、地图天气配置、闭环业务接口</w:t>
            </w:r>
          </w:p>
        </w:tc>
      </w:tr>
      <w:tr>
        <w:tc>
          <w:tcPr>
            <w:tcW w:w="2400" w:type="dxa"/>
          </w:tcPr>
          <w:p>
            <w:r>
              <w:t xml:space="preserve">数据存储层</w:t>
            </w:r>
          </w:p>
        </w:tc>
        <w:tc>
          <w:tcPr>
            <w:tcW w:w="2400" w:type="dxa"/>
          </w:tcPr>
          <w:p>
            <w:r>
              <w:t xml:space="preserve">JSON Store 为主，预留 MySQL</w:t>
            </w:r>
          </w:p>
        </w:tc>
        <w:tc>
          <w:tcPr>
            <w:tcW w:w="2400" w:type="dxa"/>
          </w:tcPr>
          <w:p>
            <w:r>
              <w:t xml:space="preserve">当前演示稳定运行在 JSON Store；MySQL 连接失败时自动回退，不影响答辩</w:t>
            </w:r>
          </w:p>
        </w:tc>
      </w:tr>
      <w:tr>
        <w:tc>
          <w:tcPr>
            <w:tcW w:w="2400" w:type="dxa"/>
          </w:tcPr>
          <w:p>
            <w:r>
              <w:t xml:space="preserve">模型层</w:t>
            </w:r>
          </w:p>
        </w:tc>
        <w:tc>
          <w:tcPr>
            <w:tcW w:w="2400" w:type="dxa"/>
          </w:tcPr>
          <w:p>
            <w:r>
              <w:t xml:space="preserve">规则模型 + sklearn RandomForest/Ridge 混合模型</w:t>
            </w:r>
          </w:p>
        </w:tc>
        <w:tc>
          <w:tcPr>
            <w:tcW w:w="2400" w:type="dxa"/>
          </w:tcPr>
          <w:p>
            <w:r>
              <w:t xml:space="preserve">小样本用规则模型，样本足够时切换混合模型，并输出因子贡献和解释</w:t>
            </w:r>
          </w:p>
        </w:tc>
      </w:tr>
      <w:tr>
        <w:tc>
          <w:tcPr>
            <w:tcW w:w="2400" w:type="dxa"/>
          </w:tcPr>
          <w:p>
            <w:r>
              <w:t xml:space="preserve">外部能力</w:t>
            </w:r>
          </w:p>
        </w:tc>
        <w:tc>
          <w:tcPr>
            <w:tcW w:w="2400" w:type="dxa"/>
          </w:tcPr>
          <w:p>
            <w:r>
              <w:t xml:space="preserve">高德地图 JS API、Open-Meteo 开放天气、可选高德天气 Web 服务</w:t>
            </w:r>
          </w:p>
        </w:tc>
        <w:tc>
          <w:tcPr>
            <w:tcW w:w="2400" w:type="dxa"/>
          </w:tcPr>
          <w:p>
            <w:r>
              <w:t xml:space="preserve">绘制县域点位、卫星遥感/标准地图/海拔态势图层，获取实时天气</w:t>
            </w:r>
          </w:p>
        </w:tc>
      </w:tr>
    </w:tbl>
    <w:p>
      <w:pPr>
        <w:pStyle w:val="Heading1"/>
      </w:pPr>
      <w:r>
        <w:t xml:space="preserve">四、核心业务闭环</w:t>
      </w:r>
    </w:p>
    <w:p>
      <w:r>
        <w:t xml:space="preserve">1. 数据接入：接入 TPDC CMFD 气象、MODIS/TPDC 遥感、主体经营、工行授信、还款、保险、产业链和绿色绩效数据。</w:t>
      </w:r>
    </w:p>
    <w:p>
      <w:r>
        <w:t xml:space="preserve">2. 风险评估：对县域和授信主体计算综合风险分，给出风险等级、主风险因子和建议动作。</w:t>
      </w:r>
    </w:p>
    <w:p>
      <w:r>
        <w:t xml:space="preserve">3. 工行准入与额度判断：结合生态环境风险、经营能力和授信敞口，支撑客户经理准入申请和额度复核。</w:t>
      </w:r>
    </w:p>
    <w:p>
      <w:r>
        <w:t xml:space="preserve">4. 贷后监测：通过风险走势、逾期苗头、气象遥感异常和用信率变化触发人工复核或贷后核查。</w:t>
      </w:r>
    </w:p>
    <w:p>
      <w:r>
        <w:t xml:space="preserve">5. 银保协同：展示保险覆盖和理赔样例链路，将灾害风险转化为风险缓释证据。</w:t>
      </w:r>
    </w:p>
    <w:p>
      <w:r>
        <w:t xml:space="preserve">6. 处置回流：把核查、展期、压降、暂停增额、保险协同等处置动作沉淀为后续模型和管理依据。</w:t>
      </w:r>
    </w:p>
    <w:p>
      <w:r>
        <w:t xml:space="preserve">7. 绿色绩效：统计绿色信贷余额、生态改善、普惠覆盖和风险减量，服务工行绿色金融绩效评价。</w:t>
      </w:r>
    </w:p>
    <w:p>
      <w:pPr>
        <w:pStyle w:val="Heading1"/>
      </w:pPr>
      <w:r>
        <w:t xml:space="preserve">五、当前主要功能</w:t>
      </w:r>
    </w:p>
    <w:tbl>
      <w:tblPr>
        <w:tblStyle w:val="TableGrid"/>
        <w:tblW w:w="0" w:type="auto"/>
        <w:tblLook w:val="04A0"/>
      </w:tblPr>
      <w:tr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已经实现的能力</w:t>
            </w:r>
          </w:p>
        </w:tc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答辩时强调点</w:t>
            </w:r>
          </w:p>
        </w:tc>
      </w:tr>
      <w:tr>
        <w:tc>
          <w:tcPr>
            <w:tcW w:w="2400" w:type="dxa"/>
          </w:tcPr>
          <w:p>
            <w:r>
              <w:t xml:space="preserve">首页</w:t>
            </w:r>
          </w:p>
        </w:tc>
        <w:tc>
          <w:tcPr>
            <w:tcW w:w="2400" w:type="dxa"/>
          </w:tcPr>
          <w:p>
            <w:r>
              <w:t xml:space="preserve">金融信贷官网风格首页，突出工行绿色金融主体、业务模块和能力入口</w:t>
            </w:r>
          </w:p>
        </w:tc>
        <w:tc>
          <w:tcPr>
            <w:tcW w:w="2400" w:type="dxa"/>
          </w:tcPr>
          <w:p>
            <w:r>
              <w:t xml:space="preserve">不是 PPT 展示，而是可进入业务工作台的系统入口</w:t>
            </w:r>
          </w:p>
        </w:tc>
      </w:tr>
      <w:tr>
        <w:tc>
          <w:tcPr>
            <w:tcW w:w="2400" w:type="dxa"/>
          </w:tcPr>
          <w:p>
            <w:r>
              <w:t xml:space="preserve">风险评估 / #dashboard</w:t>
            </w:r>
          </w:p>
        </w:tc>
        <w:tc>
          <w:tcPr>
            <w:tcW w:w="2400" w:type="dxa"/>
          </w:tcPr>
          <w:p>
            <w:r>
              <w:t xml:space="preserve">工行绿色信贷风险评估工作台：对象池、评估报告、因子贡献、风险走势、证据链、处置建议</w:t>
            </w:r>
          </w:p>
        </w:tc>
        <w:tc>
          <w:tcPr>
            <w:tcW w:w="2400" w:type="dxa"/>
          </w:tcPr>
          <w:p>
            <w:r>
              <w:t xml:space="preserve">客户经理能看到对象、风险分、主因子和下一步动作</w:t>
            </w:r>
          </w:p>
        </w:tc>
      </w:tr>
      <w:tr>
        <w:tc>
          <w:tcPr>
            <w:tcW w:w="2400" w:type="dxa"/>
          </w:tcPr>
          <w:p>
            <w:r>
              <w:t xml:space="preserve">数据底座</w:t>
            </w:r>
          </w:p>
        </w:tc>
        <w:tc>
          <w:tcPr>
            <w:tcW w:w="2400" w:type="dxa"/>
          </w:tcPr>
          <w:p>
            <w:r>
              <w:t xml:space="preserve">数据资产目录、质量结构、气象/遥感/金融/业务/闭环数据表</w:t>
            </w:r>
          </w:p>
        </w:tc>
        <w:tc>
          <w:tcPr>
            <w:tcW w:w="2400" w:type="dxa"/>
          </w:tcPr>
          <w:p>
            <w:r>
              <w:t xml:space="preserve">明确哪些是真实环境数据，哪些是脱敏样例，哪些是弱标签</w:t>
            </w:r>
          </w:p>
        </w:tc>
      </w:tr>
      <w:tr>
        <w:tc>
          <w:tcPr>
            <w:tcW w:w="2400" w:type="dxa"/>
          </w:tcPr>
          <w:p>
            <w:r>
              <w:t xml:space="preserve">高德地理证据图层</w:t>
            </w:r>
          </w:p>
        </w:tc>
        <w:tc>
          <w:tcPr>
            <w:tcW w:w="2400" w:type="dxa"/>
          </w:tcPr>
          <w:p>
            <w:r>
              <w:t xml:space="preserve">已有县域点位，支持卫星遥感、海拔态势、标准地图，右侧展示气象、遥感、风险评分证据</w:t>
            </w:r>
          </w:p>
        </w:tc>
        <w:tc>
          <w:tcPr>
            <w:tcW w:w="2400" w:type="dxa"/>
          </w:tcPr>
          <w:p>
            <w:r>
              <w:t xml:space="preserve">把地理位置、海拔、遥感和贷后预警联系起来</w:t>
            </w:r>
          </w:p>
        </w:tc>
      </w:tr>
      <w:tr>
        <w:tc>
          <w:tcPr>
            <w:tcW w:w="2400" w:type="dxa"/>
          </w:tcPr>
          <w:p>
            <w:r>
              <w:t xml:space="preserve">实时天气</w:t>
            </w:r>
          </w:p>
        </w:tc>
        <w:tc>
          <w:tcPr>
            <w:tcW w:w="2400" w:type="dxa"/>
          </w:tcPr>
          <w:p>
            <w:r>
              <w:t xml:space="preserve">Open-Meteo 开放天气自动刷新，切换县域立即更新，标签页回到前台自动刷新；高德天气作为可选增强</w:t>
            </w:r>
          </w:p>
        </w:tc>
        <w:tc>
          <w:tcPr>
            <w:tcW w:w="2400" w:type="dxa"/>
          </w:tcPr>
          <w:p>
            <w:r>
              <w:t xml:space="preserve">无需付费天气 Key，适合后续部署演示</w:t>
            </w:r>
          </w:p>
        </w:tc>
      </w:tr>
      <w:tr>
        <w:tc>
          <w:tcPr>
            <w:tcW w:w="2400" w:type="dxa"/>
          </w:tcPr>
          <w:p>
            <w:r>
              <w:t xml:space="preserve">管理端 /admin</w:t>
            </w:r>
          </w:p>
        </w:tc>
        <w:tc>
          <w:tcPr>
            <w:tcW w:w="2400" w:type="dxa"/>
          </w:tcPr>
          <w:p>
            <w:r>
              <w:t xml:space="preserve">CSV 导入、数据质量、外部 API 配置、轮播图片管理</w:t>
            </w:r>
          </w:p>
        </w:tc>
        <w:tc>
          <w:tcPr>
            <w:tcW w:w="2400" w:type="dxa"/>
          </w:tcPr>
          <w:p>
            <w:r>
              <w:t xml:space="preserve">配置入口放管理端，不破坏前台业务界面</w:t>
            </w:r>
          </w:p>
        </w:tc>
      </w:tr>
      <w:tr>
        <w:tc>
          <w:tcPr>
            <w:tcW w:w="2400" w:type="dxa"/>
          </w:tcPr>
          <w:p>
            <w:r>
              <w:t xml:space="preserve">绿色绩效</w:t>
            </w:r>
          </w:p>
        </w:tc>
        <w:tc>
          <w:tcPr>
            <w:tcW w:w="2400" w:type="dxa"/>
          </w:tcPr>
          <w:p>
            <w:r>
              <w:t xml:space="preserve">绿色信贷、生态改善、普惠覆盖、风险减量等绩效指标</w:t>
            </w:r>
          </w:p>
        </w:tc>
        <w:tc>
          <w:tcPr>
            <w:tcW w:w="2400" w:type="dxa"/>
          </w:tcPr>
          <w:p>
            <w:r>
              <w:t xml:space="preserve">对应工行绿色金融评价，而非泛泛展示畜牧数字化</w:t>
            </w:r>
          </w:p>
        </w:tc>
      </w:tr>
      <w:tr>
        <w:tc>
          <w:tcPr>
            <w:tcW w:w="2400" w:type="dxa"/>
          </w:tcPr>
          <w:p>
            <w:r>
              <w:t xml:space="preserve">边疆民生</w:t>
            </w:r>
          </w:p>
        </w:tc>
        <w:tc>
          <w:tcPr>
            <w:tcW w:w="2400" w:type="dxa"/>
          </w:tcPr>
          <w:p>
            <w:r>
              <w:t xml:space="preserve">展示牧区民生改善、普惠金融覆盖、产业稳定和风险保障</w:t>
            </w:r>
          </w:p>
        </w:tc>
        <w:tc>
          <w:tcPr>
            <w:tcW w:w="2400" w:type="dxa"/>
          </w:tcPr>
          <w:p>
            <w:r>
              <w:t xml:space="preserve">体现工行金融服务对边疆牧区的社会价值</w:t>
            </w:r>
          </w:p>
        </w:tc>
      </w:tr>
    </w:tbl>
    <w:p>
      <w:pPr>
        <w:pStyle w:val="Heading1"/>
      </w:pPr>
      <w:r>
        <w:t xml:space="preserve">六、数据底座现状</w:t>
      </w:r>
    </w:p>
    <w:tbl>
      <w:tblPr>
        <w:tblStyle w:val="TableGrid"/>
        <w:tblW w:w="0" w:type="auto"/>
        <w:tblLook w:val="04A0"/>
      </w:tblPr>
      <w:tr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数据表</w:t>
            </w:r>
          </w:p>
        </w:tc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当前规模</w:t>
            </w:r>
          </w:p>
        </w:tc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来源与用途</w:t>
            </w:r>
          </w:p>
        </w:tc>
      </w:tr>
      <w:tr>
        <w:tc>
          <w:tcPr>
            <w:tcW w:w="2400" w:type="dxa"/>
          </w:tcPr>
          <w:p>
            <w:r>
              <w:t xml:space="preserve">weather_data.json</w:t>
            </w:r>
          </w:p>
        </w:tc>
        <w:tc>
          <w:tcPr>
            <w:tcW w:w="2400" w:type="dxa"/>
          </w:tcPr>
          <w:p>
            <w:r>
              <w:t xml:space="preserve">1500 行</w:t>
            </w:r>
          </w:p>
        </w:tc>
        <w:tc>
          <w:tcPr>
            <w:tcW w:w="2400" w:type="dxa"/>
          </w:tcPr>
          <w:p>
            <w:r>
              <w:t xml:space="preserve">TPDC CMFD，25 县 × 2020-2024 共 60 个月，用于气象风险证据</w:t>
            </w:r>
          </w:p>
        </w:tc>
      </w:tr>
      <w:tr>
        <w:tc>
          <w:tcPr>
            <w:tcW w:w="2400" w:type="dxa"/>
          </w:tcPr>
          <w:p>
            <w:r>
              <w:t xml:space="preserve">remote_sensing_data.json</w:t>
            </w:r>
          </w:p>
        </w:tc>
        <w:tc>
          <w:tcPr>
            <w:tcW w:w="2400" w:type="dxa"/>
          </w:tcPr>
          <w:p>
            <w:r>
              <w:t xml:space="preserve">1500 行</w:t>
            </w:r>
          </w:p>
        </w:tc>
        <w:tc>
          <w:tcPr>
            <w:tcW w:w="2400" w:type="dxa"/>
          </w:tcPr>
          <w:p>
            <w:r>
              <w:t xml:space="preserve">MODIS/TPDC 遥感，NDVI、积雪、退化、载畜量字段，用于生态与草地风险</w:t>
            </w:r>
          </w:p>
        </w:tc>
      </w:tr>
      <w:tr>
        <w:tc>
          <w:tcPr>
            <w:tcW w:w="2400" w:type="dxa"/>
          </w:tcPr>
          <w:p>
            <w:r>
              <w:t xml:space="preserve">business_subjects.json</w:t>
            </w:r>
          </w:p>
        </w:tc>
        <w:tc>
          <w:tcPr>
            <w:tcW w:w="2400" w:type="dxa"/>
          </w:tcPr>
          <w:p>
            <w:r>
              <w:t xml:space="preserve">75 行</w:t>
            </w:r>
          </w:p>
        </w:tc>
        <w:tc>
          <w:tcPr>
            <w:tcW w:w="2400" w:type="dxa"/>
          </w:tcPr>
          <w:p>
            <w:r>
              <w:t xml:space="preserve">脱敏样例主体，支撑授信主体画像和经营维度评分</w:t>
            </w:r>
          </w:p>
        </w:tc>
      </w:tr>
      <w:tr>
        <w:tc>
          <w:tcPr>
            <w:tcW w:w="2400" w:type="dxa"/>
          </w:tcPr>
          <w:p>
            <w:r>
              <w:t xml:space="preserve">finance_credit.json</w:t>
            </w:r>
          </w:p>
        </w:tc>
        <w:tc>
          <w:tcPr>
            <w:tcW w:w="2400" w:type="dxa"/>
          </w:tcPr>
          <w:p>
            <w:r>
              <w:t xml:space="preserve">75 行</w:t>
            </w:r>
          </w:p>
        </w:tc>
        <w:tc>
          <w:tcPr>
            <w:tcW w:w="2400" w:type="dxa"/>
          </w:tcPr>
          <w:p>
            <w:r>
              <w:t xml:space="preserve">脱敏样例授信、用信和还款数据，支撑工行额度与逾期风险判断</w:t>
            </w:r>
          </w:p>
        </w:tc>
      </w:tr>
      <w:tr>
        <w:tc>
          <w:tcPr>
            <w:tcW w:w="2400" w:type="dxa"/>
          </w:tcPr>
          <w:p>
            <w:r>
              <w:t xml:space="preserve">forage_supply_demand.json</w:t>
            </w:r>
          </w:p>
        </w:tc>
        <w:tc>
          <w:tcPr>
            <w:tcW w:w="2400" w:type="dxa"/>
          </w:tcPr>
          <w:p>
            <w:r>
              <w:t xml:space="preserve">126 行</w:t>
            </w:r>
          </w:p>
        </w:tc>
        <w:tc>
          <w:tcPr>
            <w:tcW w:w="2400" w:type="dxa"/>
          </w:tcPr>
          <w:p>
            <w:r>
              <w:t xml:space="preserve">Geodoi 宏观饲草供需，只做宏观背景，不参与县域月度模型训练</w:t>
            </w:r>
          </w:p>
        </w:tc>
      </w:tr>
      <w:tr>
        <w:tc>
          <w:tcPr>
            <w:tcW w:w="2400" w:type="dxa"/>
          </w:tcPr>
          <w:p>
            <w:r>
              <w:t xml:space="preserve">insurance_claims.json</w:t>
            </w:r>
          </w:p>
        </w:tc>
        <w:tc>
          <w:tcPr>
            <w:tcW w:w="2400" w:type="dxa"/>
          </w:tcPr>
          <w:p>
            <w:r>
              <w:t xml:space="preserve">8 行</w:t>
            </w:r>
          </w:p>
        </w:tc>
        <w:tc>
          <w:tcPr>
            <w:tcW w:w="2400" w:type="dxa"/>
          </w:tcPr>
          <w:p>
            <w:r>
              <w:t xml:space="preserve">保险协同与理赔样例，用于展示风险缓释链路</w:t>
            </w:r>
          </w:p>
        </w:tc>
      </w:tr>
      <w:tr>
        <w:tc>
          <w:tcPr>
            <w:tcW w:w="2400" w:type="dxa"/>
          </w:tcPr>
          <w:p>
            <w:r>
              <w:t xml:space="preserve">supply_chain_orders/payments</w:t>
            </w:r>
          </w:p>
        </w:tc>
        <w:tc>
          <w:tcPr>
            <w:tcW w:w="2400" w:type="dxa"/>
          </w:tcPr>
          <w:p>
            <w:r>
              <w:t xml:space="preserve">各 12 行</w:t>
            </w:r>
          </w:p>
        </w:tc>
        <w:tc>
          <w:tcPr>
            <w:tcW w:w="2400" w:type="dxa"/>
          </w:tcPr>
          <w:p>
            <w:r>
              <w:t xml:space="preserve">产业链订单和回款样例，用于展示贷款用途和回款闭环</w:t>
            </w:r>
          </w:p>
        </w:tc>
      </w:tr>
      <w:tr>
        <w:tc>
          <w:tcPr>
            <w:tcW w:w="2400" w:type="dxa"/>
          </w:tcPr>
          <w:p>
            <w:r>
              <w:t xml:space="preserve">post_loan_workflow.json</w:t>
            </w:r>
          </w:p>
        </w:tc>
        <w:tc>
          <w:tcPr>
            <w:tcW w:w="2400" w:type="dxa"/>
          </w:tcPr>
          <w:p>
            <w:r>
              <w:t xml:space="preserve">12 行</w:t>
            </w:r>
          </w:p>
        </w:tc>
        <w:tc>
          <w:tcPr>
            <w:tcW w:w="2400" w:type="dxa"/>
          </w:tcPr>
          <w:p>
            <w:r>
              <w:t xml:space="preserve">贷后核查、复核、处置记录样例</w:t>
            </w:r>
          </w:p>
        </w:tc>
      </w:tr>
      <w:tr>
        <w:tc>
          <w:tcPr>
            <w:tcW w:w="2400" w:type="dxa"/>
          </w:tcPr>
          <w:p>
            <w:r>
              <w:t xml:space="preserve">green_performance_metrics.json</w:t>
            </w:r>
          </w:p>
        </w:tc>
        <w:tc>
          <w:tcPr>
            <w:tcW w:w="2400" w:type="dxa"/>
          </w:tcPr>
          <w:p>
            <w:r>
              <w:t xml:space="preserve">75 行</w:t>
            </w:r>
          </w:p>
        </w:tc>
        <w:tc>
          <w:tcPr>
            <w:tcW w:w="2400" w:type="dxa"/>
          </w:tcPr>
          <w:p>
            <w:r>
              <w:t xml:space="preserve">绿色金融绩效样例，用于绿色信贷评价</w:t>
            </w:r>
          </w:p>
        </w:tc>
      </w:tr>
      <w:tr>
        <w:tc>
          <w:tcPr>
            <w:tcW w:w="2400" w:type="dxa"/>
          </w:tcPr>
          <w:p>
            <w:r>
              <w:t xml:space="preserve">import_metadata.json</w:t>
            </w:r>
          </w:p>
        </w:tc>
        <w:tc>
          <w:tcPr>
            <w:tcW w:w="2400" w:type="dxa"/>
          </w:tcPr>
          <w:p>
            <w:r>
              <w:t xml:space="preserve">20 条</w:t>
            </w:r>
          </w:p>
        </w:tc>
        <w:tc>
          <w:tcPr>
            <w:tcW w:w="2400" w:type="dxa"/>
          </w:tcPr>
          <w:p>
            <w:r>
              <w:t xml:space="preserve">记录导入来源、时间和数据质量追踪</w:t>
            </w:r>
          </w:p>
        </w:tc>
      </w:tr>
    </w:tbl>
    <w:p>
      <w:r>
        <w:t xml:space="preserve">重要说明：当前系统是“真实环境数据 + 脱敏样例业务数据 + 规则弱标签”的演示系统。真实灾害、真实理赔、真实逾期标签仍不足，因此模型输出用于辅助评估和流程展示，不能夸大为已经完成真实生产监督学习。</w:t>
      </w:r>
    </w:p>
    <w:p>
      <w:pPr>
        <w:pStyle w:val="Heading1"/>
      </w:pPr>
      <w:r>
        <w:t xml:space="preserve">七、模型与可解释性</w:t>
      </w:r>
    </w:p>
    <w:p>
      <w:pPr>
        <w:pStyle w:val="ListParagraph"/>
        <w:numPr>
          <w:ilvl w:val="0"/>
          <w:numId w:val="1"/>
        </w:numPr>
      </w:pPr>
      <w:r>
        <w:t>模型端点包括 /api/model/status、/train、/predict、/importance、/forecast、/evaluation、/label-info。</w:t>
      </w:r>
    </w:p>
    <w:p>
      <w:pPr>
        <w:pStyle w:val="ListParagraph"/>
        <w:numPr>
          <w:ilvl w:val="0"/>
          <w:numId w:val="1"/>
        </w:numPr>
      </w:pPr>
      <w:r>
        <w:t>小样本或标签不足时使用规则模型，保证系统可解释和可演示。</w:t>
      </w:r>
    </w:p>
    <w:p>
      <w:pPr>
        <w:pStyle w:val="ListParagraph"/>
        <w:numPr>
          <w:ilvl w:val="0"/>
          <w:numId w:val="1"/>
        </w:numPr>
      </w:pPr>
      <w:r>
        <w:t>样本足够时使用 sklearn RandomForest + Ridge 混合模型，兼顾非线性风险识别和线性解释。</w:t>
      </w:r>
    </w:p>
    <w:p>
      <w:pPr>
        <w:pStyle w:val="ListParagraph"/>
        <w:numPr>
          <w:ilvl w:val="0"/>
          <w:numId w:val="1"/>
        </w:numPr>
      </w:pPr>
      <w:r>
        <w:t>特征覆盖气象、遥感、经营主体、工行授信、还款、保险等维度。</w:t>
      </w:r>
    </w:p>
    <w:p>
      <w:pPr>
        <w:pStyle w:val="ListParagraph"/>
        <w:numPr>
          <w:ilvl w:val="0"/>
          <w:numId w:val="1"/>
        </w:numPr>
      </w:pPr>
      <w:r>
        <w:t>前端展示综合风险分、等级、主风险因子、因子贡献、风险走势和建议动作，避免只给一个黑箱分数。</w:t>
      </w:r>
    </w:p>
    <w:p>
      <w:pPr>
        <w:pStyle w:val="Heading1"/>
      </w:pPr>
      <w:r>
        <w:t xml:space="preserve">八、地图与实时天气方案</w:t>
      </w:r>
    </w:p>
    <w:p>
      <w:pPr>
        <w:pStyle w:val="ListParagraph"/>
        <w:numPr>
          <w:ilvl w:val="0"/>
          <w:numId w:val="1"/>
        </w:numPr>
      </w:pPr>
      <w:r>
        <w:t>高德地图 JS API：用于地图底图、县域点位、标准地图、卫星遥感和交互控件。</w:t>
      </w:r>
    </w:p>
    <w:p>
      <w:pPr>
        <w:pStyle w:val="ListParagraph"/>
        <w:numPr>
          <w:ilvl w:val="0"/>
          <w:numId w:val="1"/>
        </w:numPr>
      </w:pPr>
      <w:r>
        <w:t>海拔态势：在标准地图上叠加县域中心海拔点位和地形色带，避免误称为真实 DEM 三维地形。</w:t>
      </w:r>
    </w:p>
    <w:p>
      <w:pPr>
        <w:pStyle w:val="ListParagraph"/>
        <w:numPr>
          <w:ilvl w:val="0"/>
          <w:numId w:val="1"/>
        </w:numPr>
      </w:pPr>
      <w:r>
        <w:t>Open-Meteo 开放天气：无需 API Key，按经纬度获取实时温度、湿度、降水、风速和天气代码。</w:t>
      </w:r>
    </w:p>
    <w:p>
      <w:pPr>
        <w:pStyle w:val="ListParagraph"/>
        <w:numPr>
          <w:ilvl w:val="0"/>
          <w:numId w:val="1"/>
        </w:numPr>
      </w:pPr>
      <w:r>
        <w:t>实时刷新机制：页面加载立即请求；每 10 分钟轮询；切换县域立即刷新；浏览器标签页重新可见时刷新。</w:t>
      </w:r>
    </w:p>
    <w:p>
      <w:pPr>
        <w:pStyle w:val="ListParagraph"/>
        <w:numPr>
          <w:ilvl w:val="0"/>
          <w:numId w:val="1"/>
        </w:numPr>
      </w:pPr>
      <w:r>
        <w:t>回退机制：外部实时天气不可用时，自动回退本地 CMFD 月度气象数据，保证答辩演示不断链。</w:t>
      </w:r>
    </w:p>
    <w:p>
      <w:pPr>
        <w:pStyle w:val="Heading1"/>
      </w:pPr>
      <w:r>
        <w:t xml:space="preserve">九、答辩演示建议流程</w:t>
      </w:r>
    </w:p>
    <w:p>
      <w:r>
        <w:t xml:space="preserve">1. 先打开首页，说明项目定位：工行绿色金融服务主体，不是普通牧区展示平台。</w:t>
      </w:r>
    </w:p>
    <w:p>
      <w:r>
        <w:t xml:space="preserve">2. 进入 /#dashboard，演示工行评估对象池，选择县域或授信主体，查看综合风险分、等级、主因子和建议动作。</w:t>
      </w:r>
    </w:p>
    <w:p>
      <w:r>
        <w:t xml:space="preserve">3. 展示右侧证据链：气象、遥感、授信/用信/还款、保险覆盖、数据缺口和处置动作。</w:t>
      </w:r>
    </w:p>
    <w:p>
      <w:r>
        <w:t xml:space="preserve">4. 进入数据底座，说明数据资产来源、样例/真实/弱标签边界和数据质量结构。</w:t>
      </w:r>
    </w:p>
    <w:p>
      <w:r>
        <w:t xml:space="preserve">5. 演示高德地理证据图层，切换卫星遥感、海拔态势和标准地图，点击县域列表查看证据更新。</w:t>
      </w:r>
    </w:p>
    <w:p>
      <w:r>
        <w:t xml:space="preserve">6. 展示实时天气自动刷新，说明 Open-Meteo 无需付费 Key，后续可部署到云端。</w:t>
      </w:r>
    </w:p>
    <w:p>
      <w:r>
        <w:t xml:space="preserve">7. 打开管理端，说明 CSV 导入、字段校验、API 配置和图片管理由管理端维护，不影响前台业务界面。</w:t>
      </w:r>
    </w:p>
    <w:p>
      <w:r>
        <w:t xml:space="preserve">8. 最后强调闭环：准入申请、风险评估、人工复核、贷后核查、处置记录、银保协同、绿色绩效回流。</w:t>
      </w:r>
    </w:p>
    <w:p>
      <w:pPr>
        <w:pStyle w:val="Heading1"/>
      </w:pPr>
      <w:r>
        <w:t xml:space="preserve">十、部署与后续扩展</w:t>
      </w:r>
    </w:p>
    <w:tbl>
      <w:tblPr>
        <w:tblStyle w:val="TableGrid"/>
        <w:tblW w:w="0" w:type="auto"/>
        <w:tblLook w:val="04A0"/>
      </w:tblPr>
      <w:tr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shd w:fill="EAF4EE"/>
            <w:tcW w:w="2400" w:type="dxa"/>
          </w:tcPr>
          <w:p>
            <w:r>
              <w:rPr>
                <w:b/>
                <w:bCs/>
              </w:rPr>
              <w:t xml:space="preserve">后续做法</w:t>
            </w:r>
          </w:p>
        </w:tc>
      </w:tr>
      <w:tr>
        <w:tc>
          <w:tcPr>
            <w:tcW w:w="2400" w:type="dxa"/>
          </w:tcPr>
          <w:p>
            <w:r>
              <w:t xml:space="preserve">本地演示</w:t>
            </w:r>
          </w:p>
        </w:tc>
        <w:tc>
          <w:tcPr>
            <w:tcW w:w="2400" w:type="dxa"/>
          </w:tcPr>
          <w:p>
            <w:r>
              <w:t xml:space="preserve">FastAPI 同时服务 API 和前端静态页面</w:t>
            </w:r>
          </w:p>
        </w:tc>
        <w:tc>
          <w:tcPr>
            <w:tcW w:w="2400" w:type="dxa"/>
          </w:tcPr>
          <w:p>
            <w:r>
              <w:t xml:space="preserve">使用 python -m uvicorn backend.server:app --host 127.0.0.1 --port 8000 启动</w:t>
            </w:r>
          </w:p>
        </w:tc>
      </w:tr>
      <w:tr>
        <w:tc>
          <w:tcPr>
            <w:tcW w:w="2400" w:type="dxa"/>
          </w:tcPr>
          <w:p>
            <w:r>
              <w:t xml:space="preserve">Vercel 前端部署</w:t>
            </w:r>
          </w:p>
        </w:tc>
        <w:tc>
          <w:tcPr>
            <w:tcW w:w="2400" w:type="dxa"/>
          </w:tcPr>
          <w:p>
            <w:r>
              <w:t xml:space="preserve">前端可静态化部署</w:t>
            </w:r>
          </w:p>
        </w:tc>
        <w:tc>
          <w:tcPr>
            <w:tcW w:w="2400" w:type="dxa"/>
          </w:tcPr>
          <w:p>
            <w:r>
              <w:t xml:space="preserve">建议将 Open-Meteo 改为前端直连；高德地图 Key 用环境变量或配置接口管理</w:t>
            </w:r>
          </w:p>
        </w:tc>
      </w:tr>
      <w:tr>
        <w:tc>
          <w:tcPr>
            <w:tcW w:w="2400" w:type="dxa"/>
          </w:tcPr>
          <w:p>
            <w:r>
              <w:t xml:space="preserve">后端云部署</w:t>
            </w:r>
          </w:p>
        </w:tc>
        <w:tc>
          <w:tcPr>
            <w:tcW w:w="2400" w:type="dxa"/>
          </w:tcPr>
          <w:p>
            <w:r>
              <w:t xml:space="preserve">FastAPI 需单独运行</w:t>
            </w:r>
          </w:p>
        </w:tc>
        <w:tc>
          <w:tcPr>
            <w:tcW w:w="2400" w:type="dxa"/>
          </w:tcPr>
          <w:p>
            <w:r>
              <w:t xml:space="preserve">可放 Render、Railway、腾讯云、阿里云或自有服务器；Vercel 前端请求后端 API</w:t>
            </w:r>
          </w:p>
        </w:tc>
      </w:tr>
      <w:tr>
        <w:tc>
          <w:tcPr>
            <w:tcW w:w="2400" w:type="dxa"/>
          </w:tcPr>
          <w:p>
            <w:r>
              <w:t xml:space="preserve">数据库</w:t>
            </w:r>
          </w:p>
        </w:tc>
        <w:tc>
          <w:tcPr>
            <w:tcW w:w="2400" w:type="dxa"/>
          </w:tcPr>
          <w:p>
            <w:r>
              <w:t xml:space="preserve">当前 JSON Store 稳定演示，预留 MySQL</w:t>
            </w:r>
          </w:p>
        </w:tc>
        <w:tc>
          <w:tcPr>
            <w:tcW w:w="2400" w:type="dxa"/>
          </w:tcPr>
          <w:p>
            <w:r>
              <w:t xml:space="preserve">正式环境接 MySQL/PostgreSQL，导入记录和数据质量追踪继续保留</w:t>
            </w:r>
          </w:p>
        </w:tc>
      </w:tr>
      <w:tr>
        <w:tc>
          <w:tcPr>
            <w:tcW w:w="2400" w:type="dxa"/>
          </w:tcPr>
          <w:p>
            <w:r>
              <w:t xml:space="preserve">模型标签</w:t>
            </w:r>
          </w:p>
        </w:tc>
        <w:tc>
          <w:tcPr>
            <w:tcW w:w="2400" w:type="dxa"/>
          </w:tcPr>
          <w:p>
            <w:r>
              <w:t xml:space="preserve">当前 rule_label/弱标签</w:t>
            </w:r>
          </w:p>
        </w:tc>
        <w:tc>
          <w:tcPr>
            <w:tcW w:w="2400" w:type="dxa"/>
          </w:tcPr>
          <w:p>
            <w:r>
              <w:t xml:space="preserve">后续接入真实灾害、理赔、逾期、核查结果，形成真实监督训练样本</w:t>
            </w:r>
          </w:p>
        </w:tc>
      </w:tr>
    </w:tbl>
    <w:p>
      <w:pPr>
        <w:pStyle w:val="Heading1"/>
      </w:pPr>
      <w:r>
        <w:t xml:space="preserve">十一、答辩可用总结话术</w:t>
      </w:r>
    </w:p>
    <w:p>
      <w:r>
        <w:t xml:space="preserve">本项目以工商银行绿色金融服务为核心，把高原牧区的气象遥感数据、经营主体数据、授信用信还款数据、保险协同数据和绿色绩效数据放入同一个风险评估与贷后管理闭环。系统既能给客户经理看清“是否准入、额度是否合理、贷后是否需要核查”，也能给风控管理人员看清“风险来自哪里、证据是否充分、处置动作如何回流”。当前模型没有夸大为真实生产预测，而是明确采用真实环境数据、脱敏样例业务数据和规则弱标签构建可解释演示系统，为后续接入真实灾害、理赔和逾期标签预留了完整链路。</w:t>
      </w:r>
    </w:p>
    <w:sectPr>
      <w:pgSz w:w="11906" w:h="16838"/>
      <w:pgMar w:top="1440" w:right="1260" w:bottom="1440" w:left="126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  <w:szCs w:val="22"/>
      </w:rPr>
    </w:rPrDefault>
  </w:docDefaults>
  <w:style w:type="paragraph" w:default="1" w:styleId="Normal">
    <w:name w:val="Normal"/>
    <w:pPr>
      <w:spacing w:after="120" w:line="360" w:lineRule="auto"/>
    </w:pPr>
    <w:rPr>
      <w:rFonts w:ascii="Microsoft YaHei" w:eastAsia="Microsoft YaHei" w:hAnsi="Microsoft YaHei"/>
    </w:rPr>
  </w:style>
  <w:style w:type="paragraph" w:styleId="Title">
    <w:name w:val="Title"/>
    <w:basedOn w:val="Normal"/>
    <w:pPr>
      <w:jc w:val="center"/>
      <w:spacing w:before="480" w:after="240"/>
    </w:pPr>
    <w:rPr>
      <w:b/>
      <w:bCs/>
      <w:color w:val="B20D18"/>
      <w:sz w:val="44"/>
      <w:szCs w:val="44"/>
    </w:rPr>
  </w:style>
  <w:style w:type="paragraph" w:styleId="Subtitle">
    <w:name w:val="Subtitle"/>
    <w:basedOn w:val="Normal"/>
    <w:pPr>
      <w:jc w:val="center"/>
      <w:spacing w:after="180"/>
    </w:pPr>
    <w:rPr>
      <w:color w:val="1F6B43"/>
      <w:sz w:val="28"/>
      <w:szCs w:val="28"/>
    </w:rPr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bCs/>
      <w:color w:val="1F6B43"/>
      <w:sz w:val="28"/>
      <w:szCs w:val="28"/>
    </w:rPr>
  </w:style>
  <w:style w:type="paragraph" w:styleId="ListParagraph">
    <w:name w:val="List Paragraph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D9E6DD"/>
        <w:left w:val="single" w:sz="4" w:space="0" w:color="D9E6DD"/>
        <w:bottom w:val="single" w:sz="4" w:space="0" w:color="D9E6DD"/>
        <w:right w:val="single" w:sz="4" w:space="0" w:color="D9E6DD"/>
        <w:insideH w:val="single" w:sz="4" w:space="0" w:color="D9E6DD"/>
        <w:insideV w:val="single" w:sz="4" w:space="0" w:color="D9E6DD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工银牧融新版答辩说明书</dc:title>
  <dc:creator>Codex</dc:creator>
  <cp:lastModifiedBy>Codex</cp:lastModifiedBy>
  <dcterms:created xsi:type="dcterms:W3CDTF">2026-05-29T22:36:35.535247+00:00</dcterms:created>
  <dcterms:modified xsi:type="dcterms:W3CDTF">2026-05-29T22:36:35.535247+00:00</dcterms:modified>
</cp:coreProperties>
</file>