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t>老师建议吸收版大纲</w:t>
      </w:r>
    </w:p>
    <w:p>
      <w:pPr>
        <w:pStyle w:val="Heading1"/>
        <w:spacing w:before="240" w:after="120"/>
      </w:pPr>
      <w:r>
        <w:t>推荐题目</w:t>
      </w:r>
    </w:p>
    <w:p>
      <w:pPr>
        <w:spacing w:after="80"/>
        <w:ind w:left="360"/>
      </w:pPr>
      <w:r>
        <w:rPr>
          <w:rFonts w:ascii="Consolas" w:hAnsi="Consolas" w:eastAsia="Microsoft YaHei"/>
          <w:color w:val="3C3C3C"/>
          <w:sz w:val="19"/>
        </w:rPr>
        <w:t>数字化赋能高原畜牧绿色可持续发展与产业链金融风控协同平台</w:t>
      </w:r>
    </w:p>
    <w:p>
      <w:pPr>
        <w:pStyle w:val="Heading1"/>
        <w:spacing w:before="240" w:after="120"/>
      </w:pPr>
      <w:r>
        <w:t>核心定位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以高原畜牧绿色可持续发展为目标，以产业数字化转型为路径，以银行绿色金融和保险协同为抓手，构建服务生态平衡、产业升级、气候韧性、牧民增收和边疆稳定的数字化平台。</w:t>
      </w:r>
    </w:p>
    <w:p>
      <w:pPr>
        <w:pStyle w:val="Heading1"/>
        <w:spacing w:before="240" w:after="120"/>
      </w:pPr>
      <w:r>
        <w:t>大纲结构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项目背景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青藏高原和高原牧区面临草场退化、气候灾害频发、畜牧产业链分散、融资难和保险理赔难等问题。高原畜牧产业不仅关系牧民收入，也关系生态安全、边疆稳定和乡村振兴。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建设目标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实现生态可监测、产业可增值、金融可风控、风险可减量、民生可保障。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数据底座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汇聚气象、遥感、NDVI、积雪、草场类型、载畜量、县域畜牧统计、交易经营、银行授信和保险理赔等数据。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核心模块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高原生态与气候风险监测、草畜平衡与绿色养殖管理、畜牧产业链数字化协同、银行绿色金融风控、保险风险减量与理赔协同、生态价值与绿色绩效评价、边疆民生与治理辅助。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银行价值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银行不只是资金提供方，而是高原畜牧绿色转型的资金组织者和风险管理者。平台帮助银行识别真实融资需求、控制贷款用途、降低贷后风险，并通过保险实现风险缓释。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社会价值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通过数字化手段提高高原生态保护能力，提升牧民收入稳定性，增强产业抗灾能力，支撑边疆地区长期稳定和应对气候变化。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演示故事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以某边疆牧区合作社冬季补饲贷款为例，展示平台如何识别草场压力和暴雪风险，联动银行绿色贷款、饲草采购、雪灾指数保险、贷后预警和理赔协同，最终实现生态保护、产业稳定和金融风险可控。</w:t>
      </w:r>
    </w:p>
    <w:p>
      <w:pPr>
        <w:pStyle w:val="Heading1"/>
        <w:spacing w:before="240" w:after="120"/>
      </w:pPr>
      <w:r>
        <w:t>一句话给老师汇报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我们已将原本偏金融风控的题目升级为“高原畜牧绿色可持续发展数字化平台”，银行风控和保险协同作为落地抓手，重点体现高原生态平衡、产业数字化转型、边疆地区稳定和应对气候变化的综合价值。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