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等线" w:hAnsi="等线" w:eastAsia="等线"/>
          <w:b/>
          <w:color w:val="1F4E79"/>
          <w:sz w:val="40"/>
        </w:rPr>
        <w:t>第十七届“工行杯”全国大学生金融科技创新大赛资料整理</w:t>
      </w:r>
    </w:p>
    <w:p>
      <w:pPr>
        <w:jc w:val="center"/>
      </w:pPr>
      <w:r>
        <w:rPr>
          <w:rFonts w:ascii="等线" w:hAnsi="等线" w:eastAsia="等线"/>
          <w:b/>
          <w:color w:val="595959"/>
          <w:sz w:val="24"/>
        </w:rPr>
        <w:t>主题：数智银行、创见未来</w:t>
      </w:r>
    </w:p>
    <w:p>
      <w:pPr>
        <w:jc w:val="center"/>
      </w:pPr>
      <w:r>
        <w:rPr>
          <w:rFonts w:ascii="等线" w:hAnsi="等线" w:eastAsia="等线"/>
          <w:color w:val="6E6E6E"/>
          <w:sz w:val="18"/>
        </w:rPr>
        <w:t>资料来源：大赛官方网站、赛事指引及公开赛事新闻；整理日期：2026年5月29日</w:t>
      </w:r>
    </w:p>
    <w:p>
      <w:pPr>
        <w:pStyle w:val="Heading1"/>
      </w:pPr>
      <w:r>
        <w:rPr>
          <w:rFonts w:ascii="等线" w:hAnsi="等线" w:eastAsia="等线"/>
          <w:b/>
          <w:color w:val="1F4E79"/>
          <w:sz w:val="32"/>
        </w:rPr>
        <w:t>一、赛事概况</w:t>
      </w:r>
    </w:p>
    <w:p>
      <w:r>
        <w:rPr>
          <w:rFonts w:ascii="等线" w:hAnsi="等线" w:eastAsia="等线"/>
          <w:sz w:val="21"/>
        </w:rPr>
        <w:t>第十七届“工行杯”全国大学生金融科技创新大赛由中国工商银行股份有限公司主办，三人行未来科技集团股份有限公司承办。赛事面向境内外高校在校本科生、硕士研究生、博士研究生，鼓励学生围绕金融产品、金融服务和银行业务场景提出具有创新性、可行性和实践价值的方案。</w:t>
      </w:r>
    </w:p>
    <w:p>
      <w:pPr>
        <w:pStyle w:val="ListBullet"/>
      </w:pPr>
      <w:r>
        <w:rPr>
          <w:rFonts w:ascii="等线" w:hAnsi="等线" w:eastAsia="等线"/>
          <w:sz w:val="21"/>
        </w:rPr>
        <w:t>主办单位：中国工商银行股份有限公司。</w:t>
      </w:r>
    </w:p>
    <w:p>
      <w:pPr>
        <w:pStyle w:val="ListBullet"/>
      </w:pPr>
      <w:r>
        <w:rPr>
          <w:rFonts w:ascii="等线" w:hAnsi="等线" w:eastAsia="等线"/>
          <w:sz w:val="21"/>
        </w:rPr>
        <w:t>承办单位：三人行未来科技集团股份有限公司。</w:t>
      </w:r>
    </w:p>
    <w:p>
      <w:pPr>
        <w:pStyle w:val="ListBullet"/>
      </w:pPr>
      <w:r>
        <w:rPr>
          <w:rFonts w:ascii="等线" w:hAnsi="等线" w:eastAsia="等线"/>
          <w:sz w:val="21"/>
        </w:rPr>
        <w:t>赛事主题：数智银行、创见未来。</w:t>
      </w:r>
    </w:p>
    <w:p>
      <w:pPr>
        <w:pStyle w:val="ListBullet"/>
      </w:pPr>
      <w:r>
        <w:rPr>
          <w:rFonts w:ascii="等线" w:hAnsi="等线" w:eastAsia="等线"/>
          <w:sz w:val="21"/>
        </w:rPr>
        <w:t>办赛定位：服务科教兴国战略，促进产教融合、新技术应用与现代金融高质量协同发展。</w:t>
      </w:r>
    </w:p>
    <w:p>
      <w:pPr>
        <w:pStyle w:val="ListBullet"/>
      </w:pPr>
      <w:r>
        <w:rPr>
          <w:rFonts w:ascii="等线" w:hAnsi="等线" w:eastAsia="等线"/>
          <w:sz w:val="21"/>
        </w:rPr>
        <w:t>赛事影响：历经十六届积累，已成为高校师生认可度较高、社会影响力较广的金融科技创新赛事。</w:t>
      </w:r>
    </w:p>
    <w:p>
      <w:pPr>
        <w:pStyle w:val="Heading1"/>
      </w:pPr>
      <w:r>
        <w:rPr>
          <w:rFonts w:ascii="等线" w:hAnsi="等线" w:eastAsia="等线"/>
          <w:b/>
          <w:color w:val="1F4E79"/>
          <w:sz w:val="32"/>
        </w:rPr>
        <w:t>二、参赛对象与组队方式</w:t>
      </w:r>
    </w:p>
    <w:p>
      <w:pPr>
        <w:pStyle w:val="ListBullet"/>
      </w:pPr>
      <w:r>
        <w:rPr>
          <w:rFonts w:ascii="等线" w:hAnsi="等线" w:eastAsia="等线"/>
          <w:sz w:val="21"/>
        </w:rPr>
        <w:t>境内外高等院校在校本科生、硕士研究生、博士研究生均可报名参赛。</w:t>
      </w:r>
    </w:p>
    <w:p>
      <w:pPr>
        <w:pStyle w:val="ListBullet"/>
      </w:pPr>
      <w:r>
        <w:rPr>
          <w:rFonts w:ascii="等线" w:hAnsi="等线" w:eastAsia="等线"/>
          <w:sz w:val="21"/>
        </w:rPr>
        <w:t>参赛作品可由个人或团队完成；团队总人数不超过3人，并需指定1名团队长。</w:t>
      </w:r>
    </w:p>
    <w:p>
      <w:pPr>
        <w:pStyle w:val="ListBullet"/>
      </w:pPr>
      <w:r>
        <w:rPr>
          <w:rFonts w:ascii="等线" w:hAnsi="等线" w:eastAsia="等线"/>
          <w:sz w:val="21"/>
        </w:rPr>
        <w:t>每名参赛选手最多提交或参与提交1个作品。</w:t>
      </w:r>
    </w:p>
    <w:p>
      <w:pPr>
        <w:pStyle w:val="ListBullet"/>
      </w:pPr>
      <w:r>
        <w:rPr>
          <w:rFonts w:ascii="等线" w:hAnsi="等线" w:eastAsia="等线"/>
          <w:sz w:val="21"/>
        </w:rPr>
        <w:t>晋级现场展示赛的参赛选手需按要求提供在校证明。</w:t>
      </w:r>
    </w:p>
    <w:p>
      <w:pPr>
        <w:pStyle w:val="Heading1"/>
      </w:pPr>
      <w:r>
        <w:rPr>
          <w:rFonts w:ascii="等线" w:hAnsi="等线" w:eastAsia="等线"/>
          <w:b/>
          <w:color w:val="1F4E79"/>
          <w:sz w:val="32"/>
        </w:rPr>
        <w:t>三、参赛方向</w:t>
      </w:r>
    </w:p>
    <w:p>
      <w:r>
        <w:rPr>
          <w:rFonts w:ascii="等线" w:hAnsi="等线" w:eastAsia="等线"/>
          <w:sz w:val="21"/>
        </w:rPr>
        <w:t>本届大赛设置十大参赛方向，覆盖金融“五篇大文章”相关重点领域，并新增多类服务创新方向。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21"/>
              </w:rPr>
              <w:t>序号</w:t>
            </w:r>
          </w:p>
        </w:tc>
        <w:tc>
          <w:tcPr>
            <w:tcW w:type="dxa" w:w="3264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21"/>
              </w:rPr>
              <w:t>方向</w:t>
            </w:r>
          </w:p>
        </w:tc>
        <w:tc>
          <w:tcPr>
            <w:tcW w:type="dxa" w:w="3264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3264"/>
            <w:vAlign w:val="center"/>
          </w:tcPr>
          <w:p>
            <w:pPr>
              <w:jc w:val="left"/>
            </w:pPr>
            <w:r/>
            <w:r>
              <w:rPr>
                <w:rFonts w:ascii="等线" w:hAnsi="等线" w:eastAsia="等线"/>
                <w:b w:val="0"/>
                <w:sz w:val="21"/>
              </w:rPr>
              <w:t>1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/>
            <w:r>
              <w:rPr>
                <w:rFonts w:ascii="等线" w:hAnsi="等线" w:eastAsia="等线"/>
                <w:b w:val="0"/>
                <w:sz w:val="21"/>
              </w:rPr>
              <w:t>科技金融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/>
            <w:r>
              <w:rPr>
                <w:rFonts w:ascii="等线" w:hAnsi="等线" w:eastAsia="等线"/>
                <w:b w:val="0"/>
                <w:sz w:val="21"/>
              </w:rPr>
              <w:t>关注科技企业、科技成果转化、金融科技工具与服务创新。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jc w:val="left"/>
            </w:pPr>
            <w:r/>
            <w:r>
              <w:rPr>
                <w:rFonts w:ascii="等线" w:hAnsi="等线" w:eastAsia="等线"/>
                <w:b w:val="0"/>
                <w:sz w:val="21"/>
              </w:rPr>
              <w:t>2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/>
            <w:r>
              <w:rPr>
                <w:rFonts w:ascii="等线" w:hAnsi="等线" w:eastAsia="等线"/>
                <w:b w:val="0"/>
                <w:sz w:val="21"/>
              </w:rPr>
              <w:t>绿色金融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/>
            <w:r>
              <w:rPr>
                <w:rFonts w:ascii="等线" w:hAnsi="等线" w:eastAsia="等线"/>
                <w:b w:val="0"/>
                <w:sz w:val="21"/>
              </w:rPr>
              <w:t>聚焦绿色产业、ESG、节能减排与可持续金融服务。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jc w:val="left"/>
            </w:pPr>
            <w:r/>
            <w:r>
              <w:rPr>
                <w:rFonts w:ascii="等线" w:hAnsi="等线" w:eastAsia="等线"/>
                <w:b w:val="0"/>
                <w:sz w:val="21"/>
              </w:rPr>
              <w:t>3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/>
            <w:r>
              <w:rPr>
                <w:rFonts w:ascii="等线" w:hAnsi="等线" w:eastAsia="等线"/>
                <w:b w:val="0"/>
                <w:sz w:val="21"/>
              </w:rPr>
              <w:t>普惠金融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/>
            <w:r>
              <w:rPr>
                <w:rFonts w:ascii="等线" w:hAnsi="等线" w:eastAsia="等线"/>
                <w:b w:val="0"/>
                <w:sz w:val="21"/>
              </w:rPr>
              <w:t>面向小微企业、乡村振兴、民生服务等普惠场景。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jc w:val="left"/>
            </w:pPr>
            <w:r/>
            <w:r>
              <w:rPr>
                <w:rFonts w:ascii="等线" w:hAnsi="等线" w:eastAsia="等线"/>
                <w:b w:val="0"/>
                <w:sz w:val="21"/>
              </w:rPr>
              <w:t>4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/>
            <w:r>
              <w:rPr>
                <w:rFonts w:ascii="等线" w:hAnsi="等线" w:eastAsia="等线"/>
                <w:b w:val="0"/>
                <w:sz w:val="21"/>
              </w:rPr>
              <w:t>养老金融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/>
            <w:r>
              <w:rPr>
                <w:rFonts w:ascii="等线" w:hAnsi="等线" w:eastAsia="等线"/>
                <w:b w:val="0"/>
                <w:sz w:val="21"/>
              </w:rPr>
              <w:t>围绕养老服务、适老化金融产品与长期保障需求。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jc w:val="left"/>
            </w:pPr>
            <w:r/>
            <w:r>
              <w:rPr>
                <w:rFonts w:ascii="等线" w:hAnsi="等线" w:eastAsia="等线"/>
                <w:b w:val="0"/>
                <w:sz w:val="21"/>
              </w:rPr>
              <w:t>5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/>
            <w:r>
              <w:rPr>
                <w:rFonts w:ascii="等线" w:hAnsi="等线" w:eastAsia="等线"/>
                <w:b w:val="0"/>
                <w:sz w:val="21"/>
              </w:rPr>
              <w:t>数字金融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/>
            <w:r>
              <w:rPr>
                <w:rFonts w:ascii="等线" w:hAnsi="等线" w:eastAsia="等线"/>
                <w:b w:val="0"/>
                <w:sz w:val="21"/>
              </w:rPr>
              <w:t>关注数字人民币、数据要素、智能风控、线上服务等。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jc w:val="left"/>
            </w:pPr>
            <w:r/>
            <w:r>
              <w:rPr>
                <w:rFonts w:ascii="等线" w:hAnsi="等线" w:eastAsia="等线"/>
                <w:b w:val="0"/>
                <w:sz w:val="21"/>
              </w:rPr>
              <w:t>6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/>
            <w:r>
              <w:rPr>
                <w:rFonts w:ascii="等线" w:hAnsi="等线" w:eastAsia="等线"/>
                <w:b w:val="0"/>
                <w:sz w:val="21"/>
              </w:rPr>
              <w:t>金融安全服务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/>
            <w:r>
              <w:rPr>
                <w:rFonts w:ascii="等线" w:hAnsi="等线" w:eastAsia="等线"/>
                <w:b w:val="0"/>
                <w:sz w:val="21"/>
              </w:rPr>
              <w:t>围绕反诈、隐私保护、数据安全、合规风控等安全场景。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jc w:val="left"/>
            </w:pPr>
            <w:r/>
            <w:r>
              <w:rPr>
                <w:rFonts w:ascii="等线" w:hAnsi="等线" w:eastAsia="等线"/>
                <w:b w:val="0"/>
                <w:sz w:val="21"/>
              </w:rPr>
              <w:t>7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/>
            <w:r>
              <w:rPr>
                <w:rFonts w:ascii="等线" w:hAnsi="等线" w:eastAsia="等线"/>
                <w:b w:val="0"/>
                <w:sz w:val="21"/>
              </w:rPr>
              <w:t>特色金融服务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/>
            <w:r>
              <w:rPr>
                <w:rFonts w:ascii="等线" w:hAnsi="等线" w:eastAsia="等线"/>
                <w:b w:val="0"/>
                <w:sz w:val="21"/>
              </w:rPr>
              <w:t>结合区域产业、校园、文旅、乡村等特色场景。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jc w:val="left"/>
            </w:pPr>
            <w:r/>
            <w:r>
              <w:rPr>
                <w:rFonts w:ascii="等线" w:hAnsi="等线" w:eastAsia="等线"/>
                <w:b w:val="0"/>
                <w:sz w:val="21"/>
              </w:rPr>
              <w:t>8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/>
            <w:r>
              <w:rPr>
                <w:rFonts w:ascii="等线" w:hAnsi="等线" w:eastAsia="等线"/>
                <w:b w:val="0"/>
                <w:sz w:val="21"/>
              </w:rPr>
              <w:t>财富管理服务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/>
            <w:r>
              <w:rPr>
                <w:rFonts w:ascii="等线" w:hAnsi="等线" w:eastAsia="等线"/>
                <w:b w:val="0"/>
                <w:sz w:val="21"/>
              </w:rPr>
              <w:t>面向投资理财、资产配置、投资者教育等需求。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jc w:val="left"/>
            </w:pPr>
            <w:r/>
            <w:r>
              <w:rPr>
                <w:rFonts w:ascii="等线" w:hAnsi="等线" w:eastAsia="等线"/>
                <w:b w:val="0"/>
                <w:sz w:val="21"/>
              </w:rPr>
              <w:t>9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/>
            <w:r>
              <w:rPr>
                <w:rFonts w:ascii="等线" w:hAnsi="等线" w:eastAsia="等线"/>
                <w:b w:val="0"/>
                <w:sz w:val="21"/>
              </w:rPr>
              <w:t>青年群体服务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/>
            <w:r>
              <w:rPr>
                <w:rFonts w:ascii="等线" w:hAnsi="等线" w:eastAsia="等线"/>
                <w:b w:val="0"/>
                <w:sz w:val="21"/>
              </w:rPr>
              <w:t>面向大学生和青年客群的金融服务、权益和成长场景。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jc w:val="left"/>
            </w:pPr>
            <w:r/>
            <w:r>
              <w:rPr>
                <w:rFonts w:ascii="等线" w:hAnsi="等线" w:eastAsia="等线"/>
                <w:b w:val="0"/>
                <w:sz w:val="21"/>
              </w:rPr>
              <w:t>10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/>
            <w:r>
              <w:rPr>
                <w:rFonts w:ascii="等线" w:hAnsi="等线" w:eastAsia="等线"/>
                <w:b w:val="0"/>
                <w:sz w:val="21"/>
              </w:rPr>
              <w:t>开放创新服务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/>
            <w:r>
              <w:rPr>
                <w:rFonts w:ascii="等线" w:hAnsi="等线" w:eastAsia="等线"/>
                <w:b w:val="0"/>
                <w:sz w:val="21"/>
              </w:rPr>
              <w:t>鼓励跨行业、跨平台、跨技术的开放式金融创新。</w:t>
            </w:r>
          </w:p>
        </w:tc>
      </w:tr>
    </w:tbl>
    <w:p/>
    <w:p>
      <w:pPr>
        <w:pStyle w:val="Heading1"/>
      </w:pPr>
      <w:r>
        <w:rPr>
          <w:rFonts w:ascii="等线" w:hAnsi="等线" w:eastAsia="等线"/>
          <w:b/>
          <w:color w:val="1F4E79"/>
          <w:sz w:val="32"/>
        </w:rPr>
        <w:t>四、赛程安排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21"/>
              </w:rPr>
              <w:t>阶段</w:t>
            </w:r>
          </w:p>
        </w:tc>
        <w:tc>
          <w:tcPr>
            <w:tcW w:type="dxa" w:w="3264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21"/>
              </w:rPr>
              <w:t>时间</w:t>
            </w:r>
          </w:p>
        </w:tc>
        <w:tc>
          <w:tcPr>
            <w:tcW w:type="dxa" w:w="3264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21"/>
              </w:rPr>
              <w:t>主要内容</w:t>
            </w:r>
          </w:p>
        </w:tc>
      </w:tr>
      <w:tr>
        <w:tc>
          <w:tcPr>
            <w:tcW w:type="dxa" w:w="3264"/>
            <w:vAlign w:val="center"/>
          </w:tcPr>
          <w:p>
            <w:pPr>
              <w:jc w:val="left"/>
            </w:pPr>
            <w:r/>
            <w:r>
              <w:rPr>
                <w:rFonts w:ascii="等线" w:hAnsi="等线" w:eastAsia="等线"/>
                <w:b w:val="0"/>
                <w:sz w:val="21"/>
              </w:rPr>
              <w:t>大赛启动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/>
            <w:r>
              <w:rPr>
                <w:rFonts w:ascii="等线" w:hAnsi="等线" w:eastAsia="等线"/>
                <w:b w:val="0"/>
                <w:sz w:val="21"/>
              </w:rPr>
              <w:t>2026年5月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/>
            <w:r>
              <w:rPr>
                <w:rFonts w:ascii="等线" w:hAnsi="等线" w:eastAsia="等线"/>
                <w:b w:val="0"/>
                <w:sz w:val="21"/>
              </w:rPr>
              <w:t>赛事正式启动，发布赛事主题、方向和报名渠道。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jc w:val="left"/>
            </w:pPr>
            <w:r/>
            <w:r>
              <w:rPr>
                <w:rFonts w:ascii="等线" w:hAnsi="等线" w:eastAsia="等线"/>
                <w:b w:val="0"/>
                <w:sz w:val="21"/>
              </w:rPr>
              <w:t>宣讲、报名及作品提交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/>
            <w:r>
              <w:rPr>
                <w:rFonts w:ascii="等线" w:hAnsi="等线" w:eastAsia="等线"/>
                <w:b w:val="0"/>
                <w:sz w:val="21"/>
              </w:rPr>
              <w:t>2026年5月-9月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/>
            <w:r>
              <w:rPr>
                <w:rFonts w:ascii="等线" w:hAnsi="等线" w:eastAsia="等线"/>
                <w:b w:val="0"/>
                <w:sz w:val="21"/>
              </w:rPr>
              <w:t>线上直播、线下进校园宣讲；参赛者完成报名并提交作品。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jc w:val="left"/>
            </w:pPr>
            <w:r/>
            <w:r>
              <w:rPr>
                <w:rFonts w:ascii="等线" w:hAnsi="等线" w:eastAsia="等线"/>
                <w:b w:val="0"/>
                <w:sz w:val="21"/>
              </w:rPr>
              <w:t>省赛阶段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/>
            <w:r>
              <w:rPr>
                <w:rFonts w:ascii="等线" w:hAnsi="等线" w:eastAsia="等线"/>
                <w:b w:val="0"/>
                <w:sz w:val="21"/>
              </w:rPr>
              <w:t>2026年10月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/>
            <w:r>
              <w:rPr>
                <w:rFonts w:ascii="等线" w:hAnsi="等线" w:eastAsia="等线"/>
                <w:b w:val="0"/>
                <w:sz w:val="21"/>
              </w:rPr>
              <w:t>由工商银行各分行组织省级比赛。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jc w:val="left"/>
            </w:pPr>
            <w:r/>
            <w:r>
              <w:rPr>
                <w:rFonts w:ascii="等线" w:hAnsi="等线" w:eastAsia="等线"/>
                <w:b w:val="0"/>
                <w:sz w:val="21"/>
              </w:rPr>
              <w:t>全国半决赛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/>
            <w:r>
              <w:rPr>
                <w:rFonts w:ascii="等线" w:hAnsi="等线" w:eastAsia="等线"/>
                <w:b w:val="0"/>
                <w:sz w:val="21"/>
              </w:rPr>
              <w:t>2026年11月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/>
            <w:r>
              <w:rPr>
                <w:rFonts w:ascii="等线" w:hAnsi="等线" w:eastAsia="等线"/>
                <w:b w:val="0"/>
                <w:sz w:val="21"/>
              </w:rPr>
              <w:t>晋级选手现场展示，由评委提问并评分。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jc w:val="left"/>
            </w:pPr>
            <w:r/>
            <w:r>
              <w:rPr>
                <w:rFonts w:ascii="等线" w:hAnsi="等线" w:eastAsia="等线"/>
                <w:b w:val="0"/>
                <w:sz w:val="21"/>
              </w:rPr>
              <w:t>全国总决赛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/>
            <w:r>
              <w:rPr>
                <w:rFonts w:ascii="等线" w:hAnsi="等线" w:eastAsia="等线"/>
                <w:b w:val="0"/>
                <w:sz w:val="21"/>
              </w:rPr>
              <w:t>2026年12月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/>
            <w:r>
              <w:rPr>
                <w:rFonts w:ascii="等线" w:hAnsi="等线" w:eastAsia="等线"/>
                <w:b w:val="0"/>
                <w:sz w:val="21"/>
              </w:rPr>
              <w:t>最终晋级团队现场展示，角逐全国奖项。</w:t>
            </w:r>
          </w:p>
        </w:tc>
      </w:tr>
    </w:tbl>
    <w:p/>
    <w:p>
      <w:r>
        <w:rPr>
          <w:rFonts w:ascii="等线" w:hAnsi="等线" w:eastAsia="等线"/>
          <w:color w:val="6E6E6E"/>
          <w:sz w:val="18"/>
        </w:rPr>
        <w:t>注：详细赛程、赛区划分及训练营安排以大赛官网和官方微信公众号后续通知为准。</w:t>
      </w:r>
    </w:p>
    <w:p>
      <w:pPr>
        <w:pStyle w:val="Heading1"/>
      </w:pPr>
      <w:r>
        <w:rPr>
          <w:rFonts w:ascii="等线" w:hAnsi="等线" w:eastAsia="等线"/>
          <w:b/>
          <w:color w:val="1F4E79"/>
          <w:sz w:val="32"/>
        </w:rPr>
        <w:t>五、奖项与激励</w:t>
      </w:r>
    </w:p>
    <w:p>
      <w:pPr>
        <w:pStyle w:val="ListBullet"/>
      </w:pPr>
      <w:r>
        <w:rPr>
          <w:rFonts w:ascii="等线" w:hAnsi="等线" w:eastAsia="等线"/>
          <w:sz w:val="21"/>
        </w:rPr>
        <w:t>工行岗位实习：进入全国半决赛、总决赛的优秀作品主创团队成员，工行将提供行内实习机会。</w:t>
      </w:r>
    </w:p>
    <w:p>
      <w:pPr>
        <w:pStyle w:val="ListBullet"/>
      </w:pPr>
      <w:r>
        <w:rPr>
          <w:rFonts w:ascii="等线" w:hAnsi="等线" w:eastAsia="等线"/>
          <w:sz w:val="21"/>
        </w:rPr>
        <w:t>荣誉证书与奖金：根据获奖级别授予大赛荣誉证书，并设置相应奖金奖励。</w:t>
      </w:r>
    </w:p>
    <w:p>
      <w:pPr>
        <w:pStyle w:val="ListBullet"/>
      </w:pPr>
      <w:r>
        <w:rPr>
          <w:rFonts w:ascii="等线" w:hAnsi="等线" w:eastAsia="等线"/>
          <w:sz w:val="21"/>
        </w:rPr>
        <w:t>指导教师奖：国赛阶段可灵活设置总决赛优秀指导教师奖等奖项。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21"/>
              </w:rPr>
              <w:t>奖项</w:t>
            </w:r>
          </w:p>
        </w:tc>
        <w:tc>
          <w:tcPr>
            <w:tcW w:type="dxa" w:w="4896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等线" w:hAnsi="等线" w:eastAsia="等线"/>
                <w:b/>
                <w:color w:val="FFFFFF"/>
                <w:sz w:val="21"/>
              </w:rPr>
              <w:t>奖励标准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等线" w:hAnsi="等线" w:eastAsia="等线"/>
                <w:b w:val="0"/>
                <w:sz w:val="21"/>
              </w:rPr>
              <w:t>全国特等奖主创团队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等线" w:hAnsi="等线" w:eastAsia="等线"/>
                <w:b w:val="0"/>
                <w:sz w:val="21"/>
              </w:rPr>
              <w:t>20,000元/组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等线" w:hAnsi="等线" w:eastAsia="等线"/>
                <w:b w:val="0"/>
                <w:sz w:val="21"/>
              </w:rPr>
              <w:t>全国一等奖主创团队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等线" w:hAnsi="等线" w:eastAsia="等线"/>
                <w:b w:val="0"/>
                <w:sz w:val="21"/>
              </w:rPr>
              <w:t>10,000元/组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等线" w:hAnsi="等线" w:eastAsia="等线"/>
                <w:b w:val="0"/>
                <w:sz w:val="21"/>
              </w:rPr>
              <w:t>全国二等奖主创团队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等线" w:hAnsi="等线" w:eastAsia="等线"/>
                <w:b w:val="0"/>
                <w:sz w:val="21"/>
              </w:rPr>
              <w:t>5,000元/组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等线" w:hAnsi="等线" w:eastAsia="等线"/>
                <w:b w:val="0"/>
                <w:sz w:val="21"/>
              </w:rPr>
              <w:t>全国三等奖主创团队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等线" w:hAnsi="等线" w:eastAsia="等线"/>
                <w:b w:val="0"/>
                <w:sz w:val="21"/>
              </w:rPr>
              <w:t>3,000元/组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等线" w:hAnsi="等线" w:eastAsia="等线"/>
                <w:b w:val="0"/>
                <w:sz w:val="21"/>
              </w:rPr>
              <w:t>国赛优秀奖、入围奖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等线" w:hAnsi="等线" w:eastAsia="等线"/>
                <w:b w:val="0"/>
                <w:sz w:val="21"/>
              </w:rPr>
              <w:t>按赛事规则授予荣誉，其他奖项以官方通知为准</w:t>
            </w:r>
          </w:p>
        </w:tc>
      </w:tr>
    </w:tbl>
    <w:p/>
    <w:p>
      <w:pPr>
        <w:pStyle w:val="Heading1"/>
      </w:pPr>
      <w:r>
        <w:rPr>
          <w:rFonts w:ascii="等线" w:hAnsi="等线" w:eastAsia="等线"/>
          <w:b/>
          <w:color w:val="1F4E79"/>
          <w:sz w:val="32"/>
        </w:rPr>
        <w:t>六、报名与作品提交</w:t>
      </w:r>
    </w:p>
    <w:p>
      <w:pPr>
        <w:pStyle w:val="ListBullet"/>
      </w:pPr>
      <w:r>
        <w:rPr>
          <w:rFonts w:ascii="等线" w:hAnsi="等线" w:eastAsia="等线"/>
          <w:sz w:val="21"/>
        </w:rPr>
        <w:t>PC端报名：登录大赛官方网站 www.gonghangbei.com，注册并填写报名信息。</w:t>
      </w:r>
    </w:p>
    <w:p>
      <w:pPr>
        <w:pStyle w:val="ListBullet"/>
      </w:pPr>
      <w:r>
        <w:rPr>
          <w:rFonts w:ascii="等线" w:hAnsi="等线" w:eastAsia="等线"/>
          <w:sz w:val="21"/>
        </w:rPr>
        <w:t>移动端报名：关注“大赛官方微信公众号：工行杯大学生金融科技创新大赛”，通过底部导航栏“我要报名”进入报名。</w:t>
      </w:r>
    </w:p>
    <w:p>
      <w:pPr>
        <w:pStyle w:val="ListBullet"/>
      </w:pPr>
      <w:r>
        <w:rPr>
          <w:rFonts w:ascii="等线" w:hAnsi="等线" w:eastAsia="等线"/>
          <w:sz w:val="21"/>
        </w:rPr>
        <w:t>作品提交：参赛作品只能在大赛PC端官网提交；登录后进入“个人中心”，点击“上传作品”。</w:t>
      </w:r>
    </w:p>
    <w:p>
      <w:pPr>
        <w:pStyle w:val="ListBullet"/>
      </w:pPr>
      <w:r>
        <w:rPr>
          <w:rFonts w:ascii="等线" w:hAnsi="等线" w:eastAsia="等线"/>
          <w:sz w:val="21"/>
        </w:rPr>
        <w:t>团队作品由团队长统一提交，并需如实填写全部团队成员信息。</w:t>
      </w:r>
    </w:p>
    <w:p>
      <w:pPr>
        <w:pStyle w:val="Heading1"/>
      </w:pPr>
      <w:r>
        <w:rPr>
          <w:rFonts w:ascii="等线" w:hAnsi="等线" w:eastAsia="等线"/>
          <w:b/>
          <w:color w:val="1F4E79"/>
          <w:sz w:val="32"/>
        </w:rPr>
        <w:t>七、参赛要求与注意事项</w:t>
      </w:r>
    </w:p>
    <w:p>
      <w:pPr>
        <w:pStyle w:val="ListBullet"/>
      </w:pPr>
      <w:r>
        <w:rPr>
          <w:rFonts w:ascii="等线" w:hAnsi="等线" w:eastAsia="等线"/>
          <w:sz w:val="21"/>
        </w:rPr>
        <w:t>参赛作品须保证原创性，不得存在抄袭、作假或知识产权纠纷。</w:t>
      </w:r>
    </w:p>
    <w:p>
      <w:pPr>
        <w:pStyle w:val="ListBullet"/>
      </w:pPr>
      <w:r>
        <w:rPr>
          <w:rFonts w:ascii="等线" w:hAnsi="等线" w:eastAsia="等线"/>
          <w:sz w:val="21"/>
        </w:rPr>
        <w:t>晋级现场赛的作品如涉及技术专利，应提前向大赛组委会说明并按要求签署相关协议。</w:t>
      </w:r>
    </w:p>
    <w:p>
      <w:pPr>
        <w:pStyle w:val="ListBullet"/>
      </w:pPr>
      <w:r>
        <w:rPr>
          <w:rFonts w:ascii="等线" w:hAnsi="等线" w:eastAsia="等线"/>
          <w:sz w:val="21"/>
        </w:rPr>
        <w:t>参赛者应服从赛事整体组织安排，按时提交材料并参加相应环节。</w:t>
      </w:r>
    </w:p>
    <w:p>
      <w:pPr>
        <w:pStyle w:val="ListBullet"/>
      </w:pPr>
      <w:r>
        <w:rPr>
          <w:rFonts w:ascii="等线" w:hAnsi="等线" w:eastAsia="等线"/>
          <w:sz w:val="21"/>
        </w:rPr>
        <w:t>未按要求提交材料、现场赛未按期到场、信息填报不实等情形，可能导致参赛资格被取消。</w:t>
      </w:r>
    </w:p>
    <w:p>
      <w:pPr>
        <w:pStyle w:val="ListBullet"/>
      </w:pPr>
      <w:r>
        <w:rPr>
          <w:rFonts w:ascii="等线" w:hAnsi="等线" w:eastAsia="等线"/>
          <w:sz w:val="21"/>
        </w:rPr>
        <w:t>大赛组委会保留对规则修订及最终解释的权利。</w:t>
      </w:r>
    </w:p>
    <w:p>
      <w:pPr>
        <w:pStyle w:val="Heading1"/>
      </w:pPr>
      <w:r>
        <w:rPr>
          <w:rFonts w:ascii="等线" w:hAnsi="等线" w:eastAsia="等线"/>
          <w:b/>
          <w:color w:val="1F4E79"/>
          <w:sz w:val="32"/>
        </w:rPr>
        <w:t>八、信息来源</w:t>
      </w:r>
    </w:p>
    <w:p>
      <w:pPr>
        <w:pStyle w:val="ListNumber"/>
      </w:pPr>
      <w:r>
        <w:rPr>
          <w:rFonts w:ascii="等线" w:hAnsi="等线" w:eastAsia="等线"/>
          <w:sz w:val="18"/>
        </w:rPr>
        <w:t>大赛官方网站：首页：https://www.gonghangbei.com/</w:t>
      </w:r>
    </w:p>
    <w:p>
      <w:pPr>
        <w:pStyle w:val="ListNumber"/>
      </w:pPr>
      <w:r>
        <w:rPr>
          <w:rFonts w:ascii="等线" w:hAnsi="等线" w:eastAsia="等线"/>
          <w:sz w:val="18"/>
        </w:rPr>
        <w:t>大赛官方网站：大赛介绍：https://www.gonghangbei.com/dsjs.html</w:t>
      </w:r>
    </w:p>
    <w:p>
      <w:pPr>
        <w:pStyle w:val="ListNumber"/>
      </w:pPr>
      <w:r>
        <w:rPr>
          <w:rFonts w:ascii="等线" w:hAnsi="等线" w:eastAsia="等线"/>
          <w:sz w:val="18"/>
        </w:rPr>
        <w:t>大赛官方网站：赛事指引：https://www.gonghangbei.com/sszy.html</w:t>
      </w:r>
    </w:p>
    <w:p>
      <w:pPr>
        <w:pStyle w:val="ListNumber"/>
      </w:pPr>
      <w:r>
        <w:rPr>
          <w:rFonts w:ascii="等线" w:hAnsi="等线" w:eastAsia="等线"/>
          <w:sz w:val="18"/>
        </w:rPr>
        <w:t>大赛官方网站：赛事新闻：https://www.gonghangbei.com/ssxw.html</w:t>
      </w:r>
    </w:p>
    <w:p>
      <w:pPr>
        <w:pStyle w:val="ListNumber"/>
      </w:pPr>
      <w:r>
        <w:rPr>
          <w:rFonts w:ascii="等线" w:hAnsi="等线" w:eastAsia="等线"/>
          <w:sz w:val="18"/>
        </w:rPr>
        <w:t>公开新闻稿参考：第十七届“工行杯”全国大学生金融科技创新大赛正式启动：用户提供的赛事启动推文文本及公开检索信息</w:t>
      </w:r>
    </w:p>
    <w:p/>
    <w:p>
      <w:pPr>
        <w:jc w:val="right"/>
      </w:pPr>
      <w:r>
        <w:rPr>
          <w:rFonts w:ascii="等线" w:hAnsi="等线" w:eastAsia="等线"/>
          <w:color w:val="6E6E6E"/>
          <w:sz w:val="18"/>
        </w:rPr>
        <w:t>整理用途：参赛信息汇总与报名参考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