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79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951"/>
        <w:gridCol w:w="2605"/>
        <w:gridCol w:w="2606"/>
        <w:gridCol w:w="2606"/>
        <w:gridCol w:w="2606"/>
        <w:gridCol w:w="2605"/>
        <w:gridCol w:w="2606"/>
        <w:gridCol w:w="2606"/>
        <w:gridCol w:w="2606"/>
      </w:tblGrid>
      <w:tr w:rsidR="004D529A" w:rsidRPr="00C50F3E" w:rsidTr="00C97846">
        <w:trPr>
          <w:trHeight w:val="1109"/>
          <w:tblHeader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FBD4B4" w:themeFill="accent6" w:themeFillTint="66"/>
          </w:tcPr>
          <w:p w:rsidR="00C50F3E" w:rsidRPr="00C50F3E" w:rsidRDefault="00C50F3E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20"/>
                <w:szCs w:val="20"/>
              </w:rPr>
              <w:t>CATEGORIES</w:t>
            </w:r>
          </w:p>
        </w:tc>
        <w:tc>
          <w:tcPr>
            <w:tcW w:w="2605" w:type="dxa"/>
            <w:shd w:val="clear" w:color="auto" w:fill="FBD4B4" w:themeFill="accent6" w:themeFillTint="66"/>
          </w:tcPr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="Calibri"/>
                <w:bCs/>
                <w:color w:val="000000"/>
                <w:sz w:val="16"/>
                <w:szCs w:val="16"/>
                <w:u w:val="single"/>
              </w:rPr>
              <w:t>Associative</w:t>
            </w:r>
          </w:p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>Group students based on their skills, need</w:t>
            </w:r>
            <w:r w:rsidR="00DC49CA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>s</w:t>
            </w: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 xml:space="preserve"> and interests to help facilitate mental, emotional, and/or social growth. 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="Calibri"/>
                <w:bCs/>
                <w:color w:val="000000"/>
                <w:sz w:val="16"/>
                <w:szCs w:val="16"/>
                <w:u w:val="single"/>
              </w:rPr>
              <w:t>Deliberative</w:t>
            </w:r>
          </w:p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 xml:space="preserve">Encourage a thoughtful exchange of ideas to promote cognitive, social, and verbal communications skills. 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="Calibri"/>
                <w:bCs/>
                <w:color w:val="000000"/>
                <w:sz w:val="16"/>
                <w:szCs w:val="16"/>
                <w:u w:val="single"/>
              </w:rPr>
              <w:t>Expositive</w:t>
            </w:r>
          </w:p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 xml:space="preserve">Provide information, oral or written, in an orderly, authoritative and intelligible manner, to a receptive audience. 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="Calibri"/>
                <w:bCs/>
                <w:color w:val="000000"/>
                <w:sz w:val="16"/>
                <w:szCs w:val="16"/>
                <w:u w:val="single"/>
              </w:rPr>
              <w:t>Individualistic</w:t>
            </w:r>
          </w:p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>Provide instruc</w:t>
            </w:r>
            <w:r w:rsidR="00DC49CA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>tion designed to meet the skill</w:t>
            </w: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 xml:space="preserve"> needs and interests of the student, based on individual assistance. </w:t>
            </w:r>
          </w:p>
        </w:tc>
        <w:tc>
          <w:tcPr>
            <w:tcW w:w="2605" w:type="dxa"/>
            <w:shd w:val="clear" w:color="auto" w:fill="FBD4B4" w:themeFill="accent6" w:themeFillTint="66"/>
          </w:tcPr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="Calibri"/>
                <w:bCs/>
                <w:color w:val="000000"/>
                <w:sz w:val="16"/>
                <w:szCs w:val="16"/>
                <w:u w:val="single"/>
              </w:rPr>
              <w:t>Interrogative</w:t>
            </w:r>
          </w:p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</w:rPr>
              <w:t xml:space="preserve">Use questioning skills to encourage participation, clarify and evaluate understanding and promote higher thinking. 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C50F3E" w:rsidRPr="00C50F3E" w:rsidRDefault="00C50F3E" w:rsidP="00C50F3E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16"/>
                <w:szCs w:val="16"/>
                <w:u w:val="single"/>
              </w:rPr>
              <w:t>Investigative</w:t>
            </w:r>
          </w:p>
          <w:p w:rsidR="00C50F3E" w:rsidRPr="00C50F3E" w:rsidRDefault="00C50F3E" w:rsidP="00C50F3E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  <w:t xml:space="preserve">Solve problems, based on inductive reasoning, by collecting and analysing data, and drawing conclusions. 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C50F3E" w:rsidRPr="00C50F3E" w:rsidRDefault="00C50F3E" w:rsidP="00C50F3E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16"/>
                <w:szCs w:val="16"/>
                <w:u w:val="single"/>
              </w:rPr>
              <w:t>Performative</w:t>
            </w:r>
          </w:p>
          <w:p w:rsidR="00C50F3E" w:rsidRPr="00C50F3E" w:rsidRDefault="00C50F3E" w:rsidP="00C50F3E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  <w:t>Encourage creative, aesthetic, and or psychomotor expression based on the dramatic/fine arts, and physical skills.</w:t>
            </w:r>
          </w:p>
        </w:tc>
        <w:tc>
          <w:tcPr>
            <w:tcW w:w="2606" w:type="dxa"/>
            <w:shd w:val="clear" w:color="auto" w:fill="FBD4B4" w:themeFill="accent6" w:themeFillTint="66"/>
          </w:tcPr>
          <w:p w:rsidR="00C50F3E" w:rsidRPr="00C50F3E" w:rsidRDefault="00C50F3E" w:rsidP="00C50F3E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16"/>
                <w:szCs w:val="16"/>
                <w:u w:val="single"/>
              </w:rPr>
              <w:t>Technological</w:t>
            </w:r>
          </w:p>
          <w:p w:rsidR="00C50F3E" w:rsidRPr="00C50F3E" w:rsidRDefault="00C50F3E" w:rsidP="00C50F3E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16"/>
                <w:szCs w:val="16"/>
              </w:rPr>
              <w:t xml:space="preserve">Allow students to access and record information by means of mechanical devices, from film projectors to computers. </w:t>
            </w:r>
          </w:p>
        </w:tc>
      </w:tr>
      <w:tr w:rsidR="004D529A" w:rsidRPr="00C50F3E" w:rsidTr="000340A4">
        <w:trPr>
          <w:trHeight w:val="956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50F3E" w:rsidRPr="00C50F3E" w:rsidRDefault="00C50F3E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20"/>
                <w:szCs w:val="20"/>
              </w:rPr>
              <w:t>STRATEGIES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E.g. dyads, partners, cross/multi-age, ability and interest groups, heterogeneous, homogeneous, cooperative learning teams</w:t>
            </w: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E.g. debate, round table, conference, panel, symposium, magic circle, fishbowl, brainstorm, buzz session, class discussion</w:t>
            </w: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E.g. lecture, recitation, review, oral or written report, textual readings, graphical materials, demonstration, modelling, testing</w:t>
            </w: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E.g. programmed self-paced, packet, contract, learning styles, mastery learning, independent study, tutorial, interest centres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E.g. convergent, divergent, prompt, probe, redirect, repetition, interview, open-ended, higher level Socratic questioning</w:t>
            </w: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C50F3E" w:rsidRPr="00C50F3E" w:rsidRDefault="00C50F3E" w:rsidP="00C50F3E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E.g. inquiry, exploration, problem solving, critical thinking, experimentation, laboratory, case study/method, discovery</w:t>
            </w: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FFFFFF" w:themeFill="background1"/>
          </w:tcPr>
          <w:p w:rsidR="00C50F3E" w:rsidRPr="00C50F3E" w:rsidRDefault="00C50F3E" w:rsidP="00C50F3E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E.g. dramatic play, role play, story-telling, choral reading, calisthenics, dance, mock trial, rehearsal, simulation, gaming</w:t>
            </w: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FFFFFF" w:themeFill="background1"/>
          </w:tcPr>
          <w:p w:rsidR="00C50F3E" w:rsidRPr="00C50F3E" w:rsidRDefault="00C50F3E" w:rsidP="00C50F3E">
            <w:pPr>
              <w:spacing w:after="0" w:line="240" w:lineRule="auto"/>
              <w:jc w:val="center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E.g. audio/video-recording, data/film projection, televising, videoconferencing, word processing, </w:t>
            </w:r>
            <w:proofErr w:type="spellStart"/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webquest</w:t>
            </w:r>
            <w:proofErr w:type="spellEnd"/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, emailing</w:t>
            </w:r>
          </w:p>
        </w:tc>
      </w:tr>
      <w:tr w:rsidR="004D529A" w:rsidRPr="00C50F3E" w:rsidTr="000340A4">
        <w:trPr>
          <w:trHeight w:val="3816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C50F3E" w:rsidRPr="00C50F3E" w:rsidRDefault="00C50F3E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20"/>
                <w:szCs w:val="20"/>
              </w:rPr>
              <w:t>STRATEGY</w:t>
            </w:r>
          </w:p>
          <w:p w:rsidR="00C50F3E" w:rsidRPr="00C50F3E" w:rsidRDefault="00C50F3E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C50F3E">
              <w:rPr>
                <w:rFonts w:asciiTheme="minorHAnsi" w:eastAsia="Times New Roman" w:hAnsiTheme="minorHAnsi" w:cstheme="majorBidi"/>
                <w:bCs/>
                <w:color w:val="000000" w:themeColor="text1"/>
                <w:sz w:val="20"/>
                <w:szCs w:val="20"/>
              </w:rPr>
              <w:t>OBJECTIVES</w:t>
            </w:r>
          </w:p>
        </w:tc>
        <w:tc>
          <w:tcPr>
            <w:tcW w:w="2605" w:type="dxa"/>
            <w:shd w:val="clear" w:color="auto" w:fill="FFFFFF" w:themeFill="background1"/>
          </w:tcPr>
          <w:p w:rsidR="00C50F3E" w:rsidRPr="00C50F3E" w:rsidRDefault="00C50F3E" w:rsidP="00C50F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Encourage students to develop particular skills with the support of group members; 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Facilitate a spirit of cooperation, decision making, and task resolution through group interaction; 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Help each group member achieve self-confidence and self-esteem through a non-threatening group atmosphere;</w:t>
            </w:r>
            <w:r w:rsidR="00DC49CA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 and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group members to respect each other’s contributions, weigh the merits of opposing arguments, and to achieve group consensus.</w:t>
            </w:r>
          </w:p>
        </w:tc>
        <w:tc>
          <w:tcPr>
            <w:tcW w:w="2606" w:type="dxa"/>
            <w:shd w:val="clear" w:color="auto" w:fill="FFFFFF" w:themeFill="background1"/>
          </w:tcPr>
          <w:p w:rsidR="00C50F3E" w:rsidRPr="00C50F3E" w:rsidRDefault="00C50F3E" w:rsidP="00C50F3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student to examine attitudes and opinions objectively and to be receptive to new ideas;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Help students achieve higher levels of thinking, such as analysis, synthesis and evaluation;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Promote a consensus decision making after carefully examining various positions; and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Develop communication skills by encouraging students to express their ideas carefully and logically</w:t>
            </w:r>
          </w:p>
        </w:tc>
        <w:tc>
          <w:tcPr>
            <w:tcW w:w="2606" w:type="dxa"/>
            <w:shd w:val="clear" w:color="auto" w:fill="FFFFFF" w:themeFill="background1"/>
          </w:tcPr>
          <w:p w:rsidR="00C50F3E" w:rsidRPr="00C50F3E" w:rsidRDefault="00C50F3E" w:rsidP="00C50F3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Develop the listener’s ability to identify the essential information by means of note- taking, highlighting text etc.;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Provide a body of precise information that the instructor can hold the listener responsible for learning;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Be efficient because the presenter can determine the amount of content and the time; and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Allow the providing source a structure that will minimise digressions and extraneous information</w:t>
            </w:r>
          </w:p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06" w:type="dxa"/>
            <w:shd w:val="clear" w:color="auto" w:fill="FFFFFF" w:themeFill="background1"/>
          </w:tcPr>
          <w:p w:rsidR="00C50F3E" w:rsidRPr="00C50F3E" w:rsidRDefault="00C50F3E" w:rsidP="00C50F3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Provide for personal one-on-one attention when needed; </w:t>
            </w:r>
          </w:p>
          <w:p w:rsidR="00C50F3E" w:rsidRPr="00C50F3E" w:rsidRDefault="00DC49CA" w:rsidP="00C50F3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R</w:t>
            </w:r>
            <w:r w:rsidR="00C50F3E"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educe the amount of frustration students might experience from group competition; 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Allow individuals to assume responsibility and directing much of their own learning; and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Provide a sense of security by allowing the individual to work at a comfortable pace.</w:t>
            </w:r>
          </w:p>
        </w:tc>
        <w:tc>
          <w:tcPr>
            <w:tcW w:w="2605" w:type="dxa"/>
            <w:shd w:val="clear" w:color="auto" w:fill="FFFFFF" w:themeFill="background1"/>
          </w:tcPr>
          <w:p w:rsidR="00C50F3E" w:rsidRPr="00C50F3E" w:rsidRDefault="00C50F3E" w:rsidP="00C50F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a sequential development of thinking skills from recalling information to constructing generalisations and making value judgements;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Prompt students to identify critical information and to emphasise relevant information;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active participation by giving each student an opportunity to ask and respond to questions; and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Improve the student’s achievement and sense of accomplishment by asking appropriate questions and allowing sufficient time to respond.</w:t>
            </w:r>
          </w:p>
          <w:p w:rsidR="00C50F3E" w:rsidRPr="00C50F3E" w:rsidRDefault="00C50F3E" w:rsidP="00C50F3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06" w:type="dxa"/>
            <w:shd w:val="clear" w:color="auto" w:fill="FFFFFF" w:themeFill="background1"/>
          </w:tcPr>
          <w:p w:rsidR="00C50F3E" w:rsidRPr="00C50F3E" w:rsidRDefault="00C50F3E" w:rsidP="00C50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Increase motivation by allowing students to direct much of their own investigation with the teacher’s guidance;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Promote greater understanding and increased retention by often providing for active and hands-on learning;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Encourage the development of social skills and interdependence by means of small group investigations; and 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Require students to arrive at valid conclusions based on supporting data.</w:t>
            </w:r>
          </w:p>
          <w:p w:rsidR="00C50F3E" w:rsidRPr="00C50F3E" w:rsidRDefault="00C50F3E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06" w:type="dxa"/>
            <w:shd w:val="clear" w:color="auto" w:fill="FFFFFF" w:themeFill="background1"/>
          </w:tcPr>
          <w:p w:rsidR="00C50F3E" w:rsidRPr="00C50F3E" w:rsidRDefault="00C50F3E" w:rsidP="00C50F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self-discipline by requiring practice and rehearsal;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Make learning more personal and relevant to students by fulfilling their cognitive, emotional physical and aesthetic needs; 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Encourage the development and expression of personal values and feelings; and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="Calibri"/>
                <w:b/>
                <w:i/>
                <w:color w:val="000000"/>
                <w:sz w:val="16"/>
                <w:szCs w:val="16"/>
              </w:rPr>
            </w:pP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>Promote social responsibilities and values by means of group interaction, mutual</w:t>
            </w:r>
            <w:r w:rsidR="00DC49CA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 assistance and shared decision</w:t>
            </w:r>
            <w:r w:rsidRPr="00C50F3E">
              <w:rPr>
                <w:rFonts w:asciiTheme="minorHAnsi" w:eastAsia="Times New Roman" w:hAnsiTheme="minorHAnsi" w:cs="Calibri"/>
                <w:color w:val="000000"/>
                <w:sz w:val="16"/>
                <w:szCs w:val="16"/>
              </w:rPr>
              <w:t xml:space="preserve"> making</w:t>
            </w:r>
            <w:r w:rsidRPr="00C50F3E">
              <w:rPr>
                <w:rFonts w:asciiTheme="minorHAnsi" w:eastAsia="Times New Roman" w:hAnsiTheme="minorHAnsi" w:cs="Calibri"/>
                <w:i/>
                <w:color w:val="000000"/>
                <w:sz w:val="16"/>
                <w:szCs w:val="16"/>
              </w:rPr>
              <w:t>.</w:t>
            </w:r>
          </w:p>
          <w:p w:rsidR="00C50F3E" w:rsidRPr="00C50F3E" w:rsidRDefault="00C50F3E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2606" w:type="dxa"/>
            <w:shd w:val="clear" w:color="auto" w:fill="FFFFFF" w:themeFill="background1"/>
          </w:tcPr>
          <w:p w:rsidR="00C50F3E" w:rsidRPr="00C50F3E" w:rsidRDefault="00C50F3E" w:rsidP="00C50F3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To increase attention and motivation </w:t>
            </w:r>
            <w:r w:rsidR="00DC49CA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as </w:t>
            </w: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students </w:t>
            </w:r>
            <w:r w:rsidR="00DC49CA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often </w:t>
            </w: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 xml:space="preserve">regard technology as a major source of entertainment and learning; 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Help organise information, provide multi-sensory communication, and immediate feedback, especially in the case of interactive technology;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Provide students with technical, interpersonal, and communication skills needed to be successful in the workplace; and</w:t>
            </w:r>
          </w:p>
          <w:p w:rsidR="00C50F3E" w:rsidRPr="00C50F3E" w:rsidRDefault="00C50F3E" w:rsidP="00C50F3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="Times New Roman" w:hAnsiTheme="minorHAnsi" w:cstheme="majorBidi"/>
                <w:b/>
                <w:color w:val="000000"/>
                <w:sz w:val="16"/>
                <w:szCs w:val="16"/>
                <w:u w:val="single"/>
              </w:rPr>
            </w:pPr>
            <w:r w:rsidRPr="00C50F3E"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  <w:t>Encourage active participation and student-centred learning by means of interactive strategies.</w:t>
            </w: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 w:rsidRPr="000340A4">
              <w:rPr>
                <w:color w:val="000000"/>
                <w:sz w:val="16"/>
                <w:szCs w:val="16"/>
              </w:rPr>
              <w:t>Use factorisation to simplify quadratic equations. Find function domain and intercept with the axes, minimum maximum turning point. Use logarithmic and exponential functions.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="Cambria" w:eastAsia="Times New Roman" w:hAnsi="Cambria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Use Pythagoras </w:t>
            </w:r>
            <w:r w:rsidRPr="000340A4">
              <w:rPr>
                <w:color w:val="000000"/>
                <w:sz w:val="16"/>
                <w:szCs w:val="16"/>
              </w:rPr>
              <w:t>in 3D application</w:t>
            </w:r>
            <w:r>
              <w:rPr>
                <w:color w:val="000000"/>
                <w:sz w:val="16"/>
                <w:szCs w:val="16"/>
              </w:rPr>
              <w:t xml:space="preserve"> (Trigonometry). C</w:t>
            </w:r>
            <w:r w:rsidRPr="000340A4">
              <w:rPr>
                <w:color w:val="000000"/>
                <w:sz w:val="16"/>
                <w:szCs w:val="16"/>
              </w:rPr>
              <w:t>alculate probability of multiple events.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 w:rsidRPr="000340A4">
              <w:rPr>
                <w:color w:val="000000"/>
                <w:sz w:val="16"/>
                <w:szCs w:val="16"/>
              </w:rPr>
              <w:t xml:space="preserve">Interpret charts and data. Apply algebra to solve measurement problems. 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bottom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 w:rsidRPr="000340A4">
              <w:rPr>
                <w:color w:val="000000"/>
                <w:sz w:val="16"/>
                <w:szCs w:val="16"/>
              </w:rPr>
              <w:t>Solve linear equation. Apply angle facts for triangle. Calculate using rational and real numbers.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 w:rsidRPr="000340A4">
              <w:rPr>
                <w:color w:val="000000"/>
                <w:sz w:val="16"/>
                <w:szCs w:val="16"/>
              </w:rPr>
              <w:t>Analyse problem and apply strategies to find solution. Calculate area and volume of 3D objects. Equivalent fractions.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 w:rsidRPr="000340A4">
              <w:rPr>
                <w:color w:val="000000"/>
                <w:sz w:val="16"/>
                <w:szCs w:val="16"/>
              </w:rPr>
              <w:t xml:space="preserve">Calculate perimeter and volume, </w:t>
            </w:r>
            <w:r w:rsidR="000E66FF" w:rsidRPr="000340A4">
              <w:rPr>
                <w:color w:val="000000"/>
                <w:sz w:val="16"/>
                <w:szCs w:val="16"/>
              </w:rPr>
              <w:t>averages</w:t>
            </w:r>
            <w:r w:rsidRPr="000340A4">
              <w:rPr>
                <w:color w:val="000000"/>
                <w:sz w:val="16"/>
                <w:szCs w:val="16"/>
              </w:rPr>
              <w:t>, probabilities and equations of a straight line. Convert between fractions and percentages.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 w:rsidRPr="000340A4">
              <w:rPr>
                <w:color w:val="000000"/>
                <w:sz w:val="16"/>
                <w:szCs w:val="16"/>
              </w:rPr>
              <w:t>Add and convert fractions. Use scale to calculate distance on maps.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 w:rsidRPr="000340A4">
              <w:rPr>
                <w:color w:val="000000"/>
                <w:sz w:val="16"/>
                <w:szCs w:val="16"/>
              </w:rPr>
              <w:lastRenderedPageBreak/>
              <w:t xml:space="preserve">Identify number patterns and solve </w:t>
            </w:r>
            <w:r w:rsidR="00DC49CA" w:rsidRPr="000340A4">
              <w:rPr>
                <w:color w:val="000000"/>
                <w:sz w:val="16"/>
                <w:szCs w:val="16"/>
              </w:rPr>
              <w:t>simple</w:t>
            </w:r>
            <w:bookmarkStart w:id="0" w:name="_GoBack"/>
            <w:bookmarkEnd w:id="0"/>
            <w:r w:rsidRPr="000340A4">
              <w:rPr>
                <w:color w:val="000000"/>
                <w:sz w:val="16"/>
                <w:szCs w:val="16"/>
              </w:rPr>
              <w:t xml:space="preserve"> equations. Use Cartesian plane.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 w:rsidRPr="000340A4">
              <w:rPr>
                <w:color w:val="000000"/>
                <w:sz w:val="16"/>
                <w:szCs w:val="16"/>
              </w:rPr>
              <w:t>Add and subtract fractions. Use Percentages, congruence, plans and nets.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 w:rsidRPr="000340A4">
              <w:rPr>
                <w:color w:val="000000"/>
                <w:sz w:val="16"/>
                <w:szCs w:val="16"/>
              </w:rPr>
              <w:t>Simple money calculations. Convert between standard length units. Identify unlikely events.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 w:rsidRPr="000340A4">
              <w:rPr>
                <w:color w:val="000000"/>
                <w:sz w:val="16"/>
                <w:szCs w:val="16"/>
              </w:rPr>
              <w:t>Recognise place value and common fractions. Read common graph types. Use +, - and x. Use appropriate volume units.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  <w:tr w:rsidR="000340A4" w:rsidRPr="00C50F3E" w:rsidTr="00C97846">
        <w:trPr>
          <w:trHeight w:val="659"/>
        </w:trPr>
        <w:tc>
          <w:tcPr>
            <w:tcW w:w="1951" w:type="dxa"/>
            <w:tcBorders>
              <w:left w:val="nil"/>
              <w:right w:val="nil"/>
            </w:tcBorders>
            <w:shd w:val="clear" w:color="auto" w:fill="B6DDE8" w:themeFill="accent5" w:themeFillTint="66"/>
            <w:vAlign w:val="center"/>
          </w:tcPr>
          <w:p w:rsidR="000340A4" w:rsidRPr="000340A4" w:rsidRDefault="000340A4">
            <w:pPr>
              <w:rPr>
                <w:color w:val="000000"/>
                <w:sz w:val="16"/>
                <w:szCs w:val="16"/>
              </w:rPr>
            </w:pPr>
            <w:r w:rsidRPr="000340A4">
              <w:rPr>
                <w:color w:val="000000"/>
                <w:sz w:val="16"/>
                <w:szCs w:val="16"/>
              </w:rPr>
              <w:t>Add, skip and count numbers less than 20. Recognise 2D shapes</w:t>
            </w: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5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  <w:righ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  <w:tc>
          <w:tcPr>
            <w:tcW w:w="2606" w:type="dxa"/>
            <w:tcBorders>
              <w:left w:val="single" w:sz="6" w:space="0" w:color="4F81BD" w:themeColor="accent1"/>
            </w:tcBorders>
            <w:shd w:val="clear" w:color="auto" w:fill="auto"/>
            <w:vAlign w:val="center"/>
          </w:tcPr>
          <w:p w:rsidR="000340A4" w:rsidRPr="00C50F3E" w:rsidRDefault="000340A4" w:rsidP="00C50F3E">
            <w:pPr>
              <w:spacing w:after="0" w:line="240" w:lineRule="auto"/>
              <w:rPr>
                <w:rFonts w:asciiTheme="minorHAnsi" w:eastAsia="Times New Roman" w:hAnsiTheme="minorHAnsi" w:cstheme="majorBidi"/>
                <w:color w:val="000000"/>
                <w:sz w:val="16"/>
                <w:szCs w:val="16"/>
              </w:rPr>
            </w:pPr>
          </w:p>
        </w:tc>
      </w:tr>
    </w:tbl>
    <w:p w:rsidR="00C50F3E" w:rsidRDefault="00C50F3E" w:rsidP="00C50F3E">
      <w:pPr>
        <w:rPr>
          <w:b/>
          <w:i/>
          <w:sz w:val="24"/>
          <w:szCs w:val="24"/>
        </w:rPr>
      </w:pPr>
    </w:p>
    <w:sectPr w:rsidR="00C50F3E" w:rsidSect="00C50F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39" w:orient="landscape" w:code="8"/>
      <w:pgMar w:top="720" w:right="720" w:bottom="720" w:left="720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0A4" w:rsidRDefault="000340A4" w:rsidP="00C50F3E">
      <w:pPr>
        <w:spacing w:after="0" w:line="240" w:lineRule="auto"/>
      </w:pPr>
      <w:r>
        <w:separator/>
      </w:r>
    </w:p>
  </w:endnote>
  <w:endnote w:type="continuationSeparator" w:id="0">
    <w:p w:rsidR="000340A4" w:rsidRDefault="000340A4" w:rsidP="00C5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FF" w:rsidRDefault="000E66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FF" w:rsidRDefault="000E66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FF" w:rsidRDefault="000E6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0A4" w:rsidRDefault="000340A4" w:rsidP="00C50F3E">
      <w:pPr>
        <w:spacing w:after="0" w:line="240" w:lineRule="auto"/>
      </w:pPr>
      <w:r>
        <w:separator/>
      </w:r>
    </w:p>
  </w:footnote>
  <w:footnote w:type="continuationSeparator" w:id="0">
    <w:p w:rsidR="000340A4" w:rsidRDefault="000340A4" w:rsidP="00C50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FF" w:rsidRDefault="000E66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6FF" w:rsidRDefault="000E66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0A4" w:rsidRPr="00895824" w:rsidRDefault="000340A4" w:rsidP="00C50F3E">
    <w:pPr>
      <w:spacing w:after="0"/>
      <w:jc w:val="center"/>
      <w:rPr>
        <w:b/>
        <w:u w:val="single"/>
      </w:rPr>
    </w:pPr>
    <w:r w:rsidRPr="004F1AE4">
      <w:rPr>
        <w:b/>
        <w:u w:val="single"/>
      </w:rPr>
      <w:t>TAXONOMY FOR INDENTIFYING, CLASSIFYING AND IN</w:t>
    </w:r>
    <w:r>
      <w:rPr>
        <w:b/>
        <w:u w:val="single"/>
      </w:rPr>
      <w:t>TERRELATING TEACHING STRATEGIES</w:t>
    </w:r>
    <w:r w:rsidR="000E66FF">
      <w:rPr>
        <w:b/>
        <w:u w:val="single"/>
      </w:rPr>
      <w:t xml:space="preserve"> – Numeracy Nutshell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F9B"/>
    <w:multiLevelType w:val="hybridMultilevel"/>
    <w:tmpl w:val="64940CE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5075C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6B2FA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872FF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D02585"/>
    <w:multiLevelType w:val="hybridMultilevel"/>
    <w:tmpl w:val="7762711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9E5448"/>
    <w:multiLevelType w:val="hybridMultilevel"/>
    <w:tmpl w:val="3CEA4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97AF2"/>
    <w:multiLevelType w:val="hybridMultilevel"/>
    <w:tmpl w:val="CFD842AE"/>
    <w:lvl w:ilvl="0" w:tplc="662619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F706B8"/>
    <w:multiLevelType w:val="hybridMultilevel"/>
    <w:tmpl w:val="D5001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14B4F"/>
    <w:multiLevelType w:val="hybridMultilevel"/>
    <w:tmpl w:val="74CC55BA"/>
    <w:lvl w:ilvl="0" w:tplc="586EE3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AB77D3"/>
    <w:multiLevelType w:val="hybridMultilevel"/>
    <w:tmpl w:val="81761C8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3E"/>
    <w:rsid w:val="000340A4"/>
    <w:rsid w:val="00083FBC"/>
    <w:rsid w:val="000E66FF"/>
    <w:rsid w:val="001D4A2C"/>
    <w:rsid w:val="002264F7"/>
    <w:rsid w:val="003466AD"/>
    <w:rsid w:val="003F358E"/>
    <w:rsid w:val="004D529A"/>
    <w:rsid w:val="006B3B85"/>
    <w:rsid w:val="00994B31"/>
    <w:rsid w:val="00B6312B"/>
    <w:rsid w:val="00C50F3E"/>
    <w:rsid w:val="00C97846"/>
    <w:rsid w:val="00DC49CA"/>
    <w:rsid w:val="00FA07F2"/>
    <w:rsid w:val="00FB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3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3E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C50F3E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50F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50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E"/>
  </w:style>
  <w:style w:type="paragraph" w:styleId="Footer">
    <w:name w:val="footer"/>
    <w:basedOn w:val="Normal"/>
    <w:link w:val="FooterChar"/>
    <w:uiPriority w:val="99"/>
    <w:semiHidden/>
    <w:unhideWhenUsed/>
    <w:rsid w:val="00C50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F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F3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F3E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C50F3E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50F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50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E"/>
  </w:style>
  <w:style w:type="paragraph" w:styleId="Footer">
    <w:name w:val="footer"/>
    <w:basedOn w:val="Normal"/>
    <w:link w:val="FooterChar"/>
    <w:uiPriority w:val="99"/>
    <w:semiHidden/>
    <w:unhideWhenUsed/>
    <w:rsid w:val="00C50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6592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</dc:creator>
  <cp:lastModifiedBy>Hilary Slater</cp:lastModifiedBy>
  <cp:revision>2</cp:revision>
  <dcterms:created xsi:type="dcterms:W3CDTF">2013-07-09T04:13:00Z</dcterms:created>
  <dcterms:modified xsi:type="dcterms:W3CDTF">2013-07-09T04:13:00Z</dcterms:modified>
</cp:coreProperties>
</file>