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14175"/>
        <w:gridCol w:w="2835"/>
      </w:tblGrid>
      <w:tr w:rsidR="00ED5EA7" w:rsidRPr="00AD5FF0" w:rsidTr="003622FA">
        <w:trPr>
          <w:trHeight w:val="418"/>
        </w:trPr>
        <w:tc>
          <w:tcPr>
            <w:tcW w:w="22647" w:type="dxa"/>
            <w:gridSpan w:val="4"/>
            <w:shd w:val="clear" w:color="auto" w:fill="FFE0C1"/>
          </w:tcPr>
          <w:p w:rsidR="00ED5EA7" w:rsidRDefault="00ED5EA7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>Student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(s)</w:t>
            </w: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 Name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(s)</w:t>
            </w:r>
            <w:r w:rsidR="003622FA">
              <w:rPr>
                <w:rFonts w:ascii="Calibri" w:hAnsi="Calibri"/>
                <w:b/>
                <w:sz w:val="22"/>
                <w:szCs w:val="20"/>
              </w:rPr>
              <w:t xml:space="preserve">/ </w:t>
            </w:r>
            <w:r w:rsidR="003622FA" w:rsidRPr="00AD5FF0">
              <w:rPr>
                <w:rFonts w:ascii="Calibri" w:hAnsi="Calibri"/>
                <w:b/>
                <w:sz w:val="22"/>
                <w:szCs w:val="20"/>
              </w:rPr>
              <w:t xml:space="preserve"> ARCOTS Code</w:t>
            </w:r>
            <w:r w:rsidR="003622FA" w:rsidRPr="00AD5FF0">
              <w:rPr>
                <w:rFonts w:ascii="Calibri" w:hAnsi="Calibri"/>
                <w:sz w:val="22"/>
                <w:szCs w:val="20"/>
              </w:rPr>
              <w:t>:</w:t>
            </w:r>
          </w:p>
          <w:p w:rsidR="00F041D0" w:rsidRPr="00AD5FF0" w:rsidRDefault="00F041D0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</w:tc>
      </w:tr>
      <w:tr w:rsidR="00ED5EA7" w:rsidRPr="00AD5FF0" w:rsidTr="00921CFD">
        <w:trPr>
          <w:trHeight w:val="452"/>
        </w:trPr>
        <w:tc>
          <w:tcPr>
            <w:tcW w:w="22647" w:type="dxa"/>
            <w:gridSpan w:val="4"/>
            <w:shd w:val="clear" w:color="auto" w:fill="FFFFDB"/>
          </w:tcPr>
          <w:p w:rsidR="00ED5EA7" w:rsidRDefault="00ED5EA7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Date 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:</w:t>
            </w: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 </w:t>
            </w:r>
          </w:p>
          <w:p w:rsidR="00F041D0" w:rsidRPr="00AD5FF0" w:rsidRDefault="00F041D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</w:tr>
      <w:tr w:rsidR="00870276" w:rsidRPr="00AD5FF0" w:rsidTr="003622FA">
        <w:trPr>
          <w:trHeight w:val="388"/>
        </w:trPr>
        <w:tc>
          <w:tcPr>
            <w:tcW w:w="2660" w:type="dxa"/>
            <w:shd w:val="clear" w:color="auto" w:fill="F5F5F5"/>
          </w:tcPr>
          <w:p w:rsidR="00870276" w:rsidRPr="00AD5FF0" w:rsidRDefault="00870276" w:rsidP="0087027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Developmental Domain 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870276" w:rsidRDefault="00870276" w:rsidP="00870276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Progression of Numeracy</w:t>
            </w:r>
          </w:p>
          <w:p w:rsidR="00870276" w:rsidRPr="00AD5FF0" w:rsidRDefault="00870276" w:rsidP="00870276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 xml:space="preserve">Strand: Number   </w:t>
            </w:r>
          </w:p>
        </w:tc>
      </w:tr>
      <w:tr w:rsidR="00ED5EA7" w:rsidRPr="00AD5FF0" w:rsidTr="00E16E3A">
        <w:trPr>
          <w:trHeight w:val="597"/>
        </w:trPr>
        <w:tc>
          <w:tcPr>
            <w:tcW w:w="2660" w:type="dxa"/>
            <w:shd w:val="clear" w:color="auto" w:fill="F5F5F5"/>
          </w:tcPr>
          <w:p w:rsidR="00ED5EA7" w:rsidRPr="00AD5FF0" w:rsidRDefault="00ED5EA7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Developmental Level &amp; Nutshell Statement 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B77AED" w:rsidRPr="00870276" w:rsidRDefault="00B77AED" w:rsidP="007C2C0F">
            <w:pPr>
              <w:spacing w:before="20" w:after="20"/>
              <w:rPr>
                <w:rFonts w:ascii="Calibri" w:hAnsi="Calibri"/>
                <w:b/>
                <w:color w:val="FF0000"/>
                <w:sz w:val="22"/>
                <w:szCs w:val="20"/>
              </w:rPr>
            </w:pPr>
            <w:r w:rsidRPr="00870276">
              <w:rPr>
                <w:rFonts w:ascii="Calibri" w:hAnsi="Calibri"/>
                <w:b/>
                <w:color w:val="FF0000"/>
                <w:sz w:val="22"/>
                <w:szCs w:val="20"/>
              </w:rPr>
              <w:t>Level K</w:t>
            </w:r>
          </w:p>
          <w:p w:rsidR="00ED5EA7" w:rsidRPr="00790725" w:rsidRDefault="007C2C0F" w:rsidP="007C2C0F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7C2C0F">
              <w:rPr>
                <w:rFonts w:ascii="Calibri" w:hAnsi="Calibri"/>
                <w:b/>
                <w:sz w:val="22"/>
                <w:szCs w:val="20"/>
              </w:rPr>
              <w:t xml:space="preserve">Generalize patterns using explicitly and recursively defined functions.  Perform arithmetic operations on </w:t>
            </w:r>
            <w:proofErr w:type="spellStart"/>
            <w:r w:rsidRPr="007C2C0F">
              <w:rPr>
                <w:rFonts w:ascii="Calibri" w:hAnsi="Calibri"/>
                <w:b/>
                <w:sz w:val="22"/>
                <w:szCs w:val="20"/>
              </w:rPr>
              <w:t>polynoms</w:t>
            </w:r>
            <w:proofErr w:type="spellEnd"/>
            <w:r w:rsidRPr="007C2C0F">
              <w:rPr>
                <w:rFonts w:ascii="Calibri" w:hAnsi="Calibri"/>
                <w:b/>
                <w:sz w:val="22"/>
                <w:szCs w:val="20"/>
              </w:rPr>
              <w:t>. Use factorisation to simplify quadratic equations. Analyse function using different representations.  Extend properties of integer exponent to rational exponent</w:t>
            </w:r>
            <w:r w:rsidR="00667425">
              <w:rPr>
                <w:rFonts w:ascii="Calibri" w:hAnsi="Calibri"/>
                <w:b/>
                <w:sz w:val="22"/>
                <w:szCs w:val="20"/>
              </w:rPr>
              <w:t>.</w:t>
            </w:r>
          </w:p>
        </w:tc>
      </w:tr>
      <w:tr w:rsidR="00870276" w:rsidRPr="00AD5FF0" w:rsidTr="003622FA">
        <w:trPr>
          <w:trHeight w:val="514"/>
        </w:trPr>
        <w:tc>
          <w:tcPr>
            <w:tcW w:w="2660" w:type="dxa"/>
            <w:shd w:val="clear" w:color="auto" w:fill="F5F5F5"/>
          </w:tcPr>
          <w:p w:rsidR="00870276" w:rsidRPr="00AD5FF0" w:rsidRDefault="00870276" w:rsidP="00870276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 xml:space="preserve">Evidence for this level? </w:t>
            </w:r>
            <w:r w:rsidRPr="003622FA">
              <w:rPr>
                <w:rFonts w:ascii="Calibri" w:hAnsi="Calibri"/>
                <w:sz w:val="22"/>
                <w:szCs w:val="20"/>
              </w:rPr>
              <w:t>(What makes you say this?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870276" w:rsidRPr="00B44EBC" w:rsidRDefault="00870276" w:rsidP="0087027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4B1745">
              <w:rPr>
                <w:rFonts w:ascii="Calibri" w:hAnsi="Calibri"/>
                <w:sz w:val="22"/>
                <w:szCs w:val="20"/>
              </w:rPr>
              <w:t xml:space="preserve">ARCOTS testing student ZPD was Level </w:t>
            </w:r>
            <w:r>
              <w:rPr>
                <w:rFonts w:ascii="Calibri" w:hAnsi="Calibri"/>
                <w:sz w:val="22"/>
                <w:szCs w:val="20"/>
              </w:rPr>
              <w:t>K</w:t>
            </w:r>
            <w:r w:rsidRPr="004B1745">
              <w:rPr>
                <w:rFonts w:ascii="Calibri" w:hAnsi="Calibri"/>
                <w:sz w:val="22"/>
                <w:szCs w:val="20"/>
              </w:rPr>
              <w:t>. Analysis of work samples against the progression confirmed this.</w:t>
            </w:r>
          </w:p>
        </w:tc>
      </w:tr>
      <w:tr w:rsidR="00870276" w:rsidRPr="00AD5FF0" w:rsidTr="00FC7CA0">
        <w:trPr>
          <w:trHeight w:val="632"/>
        </w:trPr>
        <w:tc>
          <w:tcPr>
            <w:tcW w:w="2660" w:type="dxa"/>
            <w:shd w:val="clear" w:color="auto" w:fill="D9D9D9"/>
          </w:tcPr>
          <w:p w:rsidR="00870276" w:rsidRPr="00E16E3A" w:rsidRDefault="00870276" w:rsidP="00870276">
            <w:pPr>
              <w:spacing w:before="20" w:after="20"/>
              <w:rPr>
                <w:rFonts w:ascii="Calibri" w:hAnsi="Calibri"/>
                <w:b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is the student ready to learn?</w:t>
            </w:r>
          </w:p>
        </w:tc>
        <w:tc>
          <w:tcPr>
            <w:tcW w:w="2977" w:type="dxa"/>
            <w:shd w:val="clear" w:color="auto" w:fill="D9D9D9"/>
          </w:tcPr>
          <w:p w:rsidR="00870276" w:rsidRPr="000B5D4D" w:rsidRDefault="00870276" w:rsidP="00870276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are the expected outcomes and evidence?</w:t>
            </w:r>
          </w:p>
        </w:tc>
        <w:tc>
          <w:tcPr>
            <w:tcW w:w="14175" w:type="dxa"/>
            <w:shd w:val="clear" w:color="auto" w:fill="D9D9D9"/>
          </w:tcPr>
          <w:p w:rsidR="00870276" w:rsidRPr="000B5D4D" w:rsidRDefault="00870276" w:rsidP="00870276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interventions has the teacher planned?</w:t>
            </w:r>
          </w:p>
        </w:tc>
        <w:tc>
          <w:tcPr>
            <w:tcW w:w="2835" w:type="dxa"/>
            <w:shd w:val="clear" w:color="auto" w:fill="D9D9D9"/>
          </w:tcPr>
          <w:p w:rsidR="00870276" w:rsidRPr="000B5D4D" w:rsidRDefault="00870276" w:rsidP="00870276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>
              <w:rPr>
                <w:rFonts w:ascii="Calibri" w:hAnsi="Calibri"/>
                <w:b/>
                <w:i/>
                <w:color w:val="FF0000"/>
              </w:rPr>
              <w:t>What worked</w:t>
            </w:r>
            <w:r w:rsidRPr="000B5D4D">
              <w:rPr>
                <w:rFonts w:ascii="Calibri" w:hAnsi="Calibri"/>
                <w:b/>
                <w:i/>
                <w:color w:val="FF0000"/>
              </w:rPr>
              <w:t>?</w:t>
            </w:r>
            <w:r>
              <w:rPr>
                <w:rFonts w:ascii="Calibri" w:hAnsi="Calibri"/>
                <w:b/>
                <w:i/>
                <w:color w:val="FF0000"/>
              </w:rPr>
              <w:t xml:space="preserve"> What next?</w:t>
            </w:r>
          </w:p>
        </w:tc>
      </w:tr>
    </w:tbl>
    <w:p w:rsidR="004F2F9E" w:rsidRDefault="004F2F9E"/>
    <w:tbl>
      <w:tblPr>
        <w:tblpPr w:leftFromText="180" w:rightFromText="180" w:vertAnchor="text" w:tblpY="1"/>
        <w:tblOverlap w:val="never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7938"/>
        <w:gridCol w:w="3118"/>
        <w:gridCol w:w="3119"/>
        <w:gridCol w:w="2835"/>
      </w:tblGrid>
      <w:tr w:rsidR="004F2F9E" w:rsidRPr="000B5D4D" w:rsidTr="004F2F9E">
        <w:trPr>
          <w:trHeight w:val="832"/>
        </w:trPr>
        <w:tc>
          <w:tcPr>
            <w:tcW w:w="2660" w:type="dxa"/>
            <w:shd w:val="clear" w:color="auto" w:fill="D9D9D9"/>
          </w:tcPr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Learning Intention/s</w:t>
            </w:r>
          </w:p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</w:rPr>
              <w:t xml:space="preserve">(Specific </w:t>
            </w:r>
            <w:r w:rsidRPr="004F2F9E">
              <w:rPr>
                <w:rFonts w:ascii="Calibri" w:hAnsi="Calibri"/>
                <w:b/>
              </w:rPr>
              <w:t>skill</w:t>
            </w:r>
            <w:r w:rsidRPr="000B5D4D">
              <w:rPr>
                <w:rFonts w:ascii="Calibri" w:hAnsi="Calibri"/>
              </w:rPr>
              <w:t xml:space="preserve"> or concept or part thereof to be learned)</w:t>
            </w:r>
          </w:p>
        </w:tc>
        <w:tc>
          <w:tcPr>
            <w:tcW w:w="2977" w:type="dxa"/>
            <w:shd w:val="clear" w:color="auto" w:fill="ECECEC"/>
          </w:tcPr>
          <w:p w:rsidR="004F2F9E" w:rsidRPr="000B5D4D" w:rsidRDefault="004F2F9E" w:rsidP="00F442E4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Evidence</w:t>
            </w:r>
            <w:r w:rsidRPr="000B5D4D">
              <w:rPr>
                <w:rFonts w:ascii="Calibri" w:hAnsi="Calibri"/>
              </w:rPr>
              <w:t xml:space="preserve"> (What the students will be able to do, say, make or write):</w:t>
            </w:r>
          </w:p>
        </w:tc>
        <w:tc>
          <w:tcPr>
            <w:tcW w:w="7938" w:type="dxa"/>
            <w:shd w:val="clear" w:color="auto" w:fill="ECECEC"/>
          </w:tcPr>
          <w:p w:rsidR="004F2F9E" w:rsidRPr="000B5D4D" w:rsidRDefault="004F2F9E" w:rsidP="00F442E4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 xml:space="preserve">Teaching Strategy </w:t>
            </w:r>
            <w:r w:rsidRPr="000B5D4D">
              <w:rPr>
                <w:rFonts w:ascii="Calibri" w:hAnsi="Calibri"/>
              </w:rPr>
              <w:t xml:space="preserve">(What the </w:t>
            </w:r>
            <w:r w:rsidRPr="000B5D4D">
              <w:rPr>
                <w:rFonts w:ascii="Calibri" w:hAnsi="Calibri"/>
                <w:i/>
              </w:rPr>
              <w:t>teacher</w:t>
            </w:r>
            <w:r w:rsidRPr="000B5D4D">
              <w:rPr>
                <w:rFonts w:ascii="Calibri" w:hAnsi="Calibri"/>
              </w:rPr>
              <w:t xml:space="preserve"> says, does, makes or writes)</w:t>
            </w:r>
          </w:p>
        </w:tc>
        <w:tc>
          <w:tcPr>
            <w:tcW w:w="3118" w:type="dxa"/>
            <w:shd w:val="clear" w:color="auto" w:fill="ECECEC"/>
          </w:tcPr>
          <w:p w:rsidR="004F2F9E" w:rsidRPr="000B5D4D" w:rsidRDefault="004F2F9E" w:rsidP="004F2F9E">
            <w:pPr>
              <w:spacing w:before="20" w:after="20"/>
              <w:rPr>
                <w:rFonts w:ascii="Calibri" w:hAnsi="Calibri"/>
              </w:rPr>
            </w:pPr>
            <w:r w:rsidRPr="000B5D4D">
              <w:rPr>
                <w:rFonts w:ascii="Calibri" w:hAnsi="Calibri"/>
                <w:b/>
              </w:rPr>
              <w:t>Learning Activity</w:t>
            </w:r>
            <w:r w:rsidRPr="000B5D4D">
              <w:rPr>
                <w:rFonts w:ascii="Calibri" w:hAnsi="Calibri"/>
              </w:rPr>
              <w:t xml:space="preserve"> </w:t>
            </w:r>
          </w:p>
          <w:p w:rsidR="004F2F9E" w:rsidRPr="000B5D4D" w:rsidRDefault="004F2F9E" w:rsidP="004F2F9E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</w:rPr>
              <w:t>(Describes what the students are actually going to do)</w:t>
            </w:r>
          </w:p>
        </w:tc>
        <w:tc>
          <w:tcPr>
            <w:tcW w:w="3119" w:type="dxa"/>
            <w:shd w:val="clear" w:color="auto" w:fill="ECECEC"/>
          </w:tcPr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Resources</w:t>
            </w:r>
            <w:r w:rsidRPr="000B5D4D">
              <w:rPr>
                <w:rFonts w:ascii="Calibri" w:hAnsi="Calibri"/>
              </w:rPr>
              <w:t xml:space="preserve"> (People, place or things used in the</w:t>
            </w:r>
            <w:r w:rsidR="00FC7CA0">
              <w:rPr>
                <w:rFonts w:ascii="Calibri" w:hAnsi="Calibri"/>
              </w:rPr>
              <w:t xml:space="preserve"> activity to realise the</w:t>
            </w:r>
            <w:r w:rsidRPr="000B5D4D">
              <w:rPr>
                <w:rFonts w:ascii="Calibri" w:hAnsi="Calibri"/>
              </w:rPr>
              <w:t xml:space="preserve"> learning strategy)</w:t>
            </w:r>
          </w:p>
        </w:tc>
        <w:tc>
          <w:tcPr>
            <w:tcW w:w="2835" w:type="dxa"/>
            <w:shd w:val="clear" w:color="auto" w:fill="D9D9D9"/>
          </w:tcPr>
          <w:p w:rsidR="004F2F9E" w:rsidRPr="000B5D4D" w:rsidRDefault="00FC7CA0" w:rsidP="004F2F9E">
            <w:pPr>
              <w:spacing w:before="20" w:after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Review &amp; </w:t>
            </w:r>
            <w:r w:rsidR="004F2F9E">
              <w:rPr>
                <w:rFonts w:ascii="Calibri" w:hAnsi="Calibri"/>
                <w:b/>
              </w:rPr>
              <w:t>Reflection</w:t>
            </w:r>
          </w:p>
        </w:tc>
      </w:tr>
      <w:tr w:rsidR="00870276" w:rsidRPr="00AD5FF0" w:rsidTr="00241C85">
        <w:trPr>
          <w:trHeight w:val="1713"/>
        </w:trPr>
        <w:tc>
          <w:tcPr>
            <w:tcW w:w="2660" w:type="dxa"/>
            <w:shd w:val="clear" w:color="auto" w:fill="D9D9D9"/>
          </w:tcPr>
          <w:p w:rsidR="00870276" w:rsidRPr="00AD5FF0" w:rsidRDefault="00D40E07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D40E07">
              <w:rPr>
                <w:rFonts w:ascii="Calibri" w:hAnsi="Calibri"/>
                <w:sz w:val="22"/>
                <w:szCs w:val="20"/>
              </w:rPr>
              <w:t>Students will be able to factorise and solve quadratic equations using different methods.</w:t>
            </w:r>
          </w:p>
        </w:tc>
        <w:tc>
          <w:tcPr>
            <w:tcW w:w="2977" w:type="dxa"/>
            <w:shd w:val="clear" w:color="auto" w:fill="ECECEC"/>
          </w:tcPr>
          <w:p w:rsidR="00870276" w:rsidRPr="007C2C0F" w:rsidRDefault="00870276" w:rsidP="008702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- </w:t>
            </w:r>
            <w:r w:rsidRPr="007C2C0F">
              <w:rPr>
                <w:rFonts w:asciiTheme="minorHAnsi" w:hAnsiTheme="minorHAnsi" w:cstheme="minorHAnsi"/>
                <w:sz w:val="22"/>
                <w:szCs w:val="22"/>
              </w:rPr>
              <w:t>Students select the most appropriate method to factorise a quadratic equation</w:t>
            </w:r>
          </w:p>
          <w:p w:rsidR="00870276" w:rsidRPr="007C2C0F" w:rsidRDefault="00870276" w:rsidP="0087027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- Students </w:t>
            </w:r>
            <w:r w:rsidRPr="007C2C0F">
              <w:rPr>
                <w:rFonts w:asciiTheme="minorHAnsi" w:hAnsiTheme="minorHAnsi" w:cstheme="minorHAnsi"/>
                <w:sz w:val="22"/>
                <w:szCs w:val="22"/>
              </w:rPr>
              <w:t xml:space="preserve">apply algebraic techniques such as completing the square to determine the </w:t>
            </w:r>
            <w:r w:rsidRPr="007C2C0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x</w:t>
            </w:r>
            <w:r w:rsidRPr="007C2C0F">
              <w:rPr>
                <w:rFonts w:asciiTheme="minorHAnsi" w:hAnsiTheme="minorHAnsi" w:cstheme="minorHAnsi"/>
                <w:sz w:val="22"/>
                <w:szCs w:val="22"/>
              </w:rPr>
              <w:t xml:space="preserve">-intercept(s) and turning point (maximum or minimum value) of a quadratic function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870276" w:rsidRDefault="00870276" w:rsidP="00C276E3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938" w:type="dxa"/>
            <w:shd w:val="clear" w:color="auto" w:fill="ECECEC"/>
          </w:tcPr>
          <w:p w:rsidR="00870276" w:rsidRDefault="00870276" w:rsidP="00870276">
            <w:pPr>
              <w:spacing w:before="20" w:after="20"/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MIDDLE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 xml:space="preserve"> </w:t>
            </w:r>
            <w:r w:rsidR="005A1061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 xml:space="preserve">and UPPER 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YEARS</w:t>
            </w:r>
          </w:p>
          <w:p w:rsidR="00440326" w:rsidRDefault="00440326" w:rsidP="00870276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bookmarkStart w:id="0" w:name="_GoBack"/>
            <w:bookmarkEnd w:id="0"/>
          </w:p>
          <w:p w:rsidR="00870276" w:rsidRDefault="00870276" w:rsidP="000E5E7A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 xml:space="preserve">Expositive </w:t>
            </w:r>
          </w:p>
          <w:p w:rsidR="005A1061" w:rsidRDefault="005A1061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870276" w:rsidRPr="00D40E07">
              <w:rPr>
                <w:rFonts w:ascii="Calibri" w:hAnsi="Calibri"/>
                <w:sz w:val="22"/>
                <w:szCs w:val="20"/>
              </w:rPr>
              <w:t>Teacher will</w:t>
            </w:r>
            <w:r>
              <w:rPr>
                <w:rFonts w:ascii="Calibri" w:hAnsi="Calibri"/>
                <w:sz w:val="22"/>
                <w:szCs w:val="20"/>
              </w:rPr>
              <w:t>:</w:t>
            </w:r>
            <w:r w:rsidR="00870276" w:rsidRPr="00D40E07">
              <w:rPr>
                <w:rFonts w:ascii="Calibri" w:hAnsi="Calibri"/>
                <w:sz w:val="22"/>
                <w:szCs w:val="20"/>
              </w:rPr>
              <w:t xml:space="preserve"> </w:t>
            </w:r>
          </w:p>
          <w:p w:rsidR="005A1061" w:rsidRDefault="005A1061" w:rsidP="000E5E7A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5A1061">
              <w:rPr>
                <w:rFonts w:ascii="Calibri" w:hAnsi="Calibri"/>
                <w:sz w:val="22"/>
                <w:szCs w:val="20"/>
              </w:rPr>
              <w:t>R</w:t>
            </w:r>
            <w:r w:rsidR="00870276" w:rsidRPr="005A1061">
              <w:rPr>
                <w:rFonts w:ascii="Calibri" w:hAnsi="Calibri"/>
                <w:sz w:val="22"/>
                <w:szCs w:val="20"/>
              </w:rPr>
              <w:t>evise solving linear equations</w:t>
            </w:r>
            <w:r w:rsidRPr="005A1061">
              <w:rPr>
                <w:rFonts w:ascii="Calibri" w:hAnsi="Calibri"/>
                <w:sz w:val="22"/>
                <w:szCs w:val="20"/>
              </w:rPr>
              <w:t>.</w:t>
            </w:r>
          </w:p>
          <w:p w:rsidR="00870276" w:rsidRPr="005A1061" w:rsidRDefault="005A1061" w:rsidP="000E5E7A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D</w:t>
            </w:r>
            <w:r w:rsidR="00870276" w:rsidRPr="005A1061">
              <w:rPr>
                <w:rFonts w:ascii="Calibri" w:hAnsi="Calibri"/>
                <w:sz w:val="22"/>
                <w:szCs w:val="20"/>
              </w:rPr>
              <w:t xml:space="preserve">emonstrate solution methods for quadratic equations (cross over method, algebraic formula and completion of square (if feel is necessary) </w:t>
            </w:r>
          </w:p>
          <w:p w:rsidR="005A1061" w:rsidRDefault="005A1061" w:rsidP="000E5E7A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</w:p>
          <w:p w:rsidR="00667425" w:rsidRDefault="00667425" w:rsidP="000E5E7A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</w:p>
          <w:p w:rsidR="00870276" w:rsidRDefault="00870276" w:rsidP="000E5E7A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Individualistic</w:t>
            </w:r>
          </w:p>
          <w:p w:rsidR="00667425" w:rsidRDefault="0066742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B8071F" w:rsidRDefault="00B8071F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T</w:t>
            </w:r>
            <w:r w:rsidR="00870276">
              <w:rPr>
                <w:rFonts w:ascii="Calibri" w:hAnsi="Calibri"/>
                <w:sz w:val="22"/>
                <w:szCs w:val="20"/>
              </w:rPr>
              <w:t xml:space="preserve">eacher will give students </w:t>
            </w:r>
            <w:r>
              <w:rPr>
                <w:rFonts w:ascii="Calibri" w:hAnsi="Calibri"/>
                <w:sz w:val="22"/>
                <w:szCs w:val="20"/>
              </w:rPr>
              <w:t xml:space="preserve">the opportunity </w:t>
            </w:r>
            <w:r w:rsidR="00870276">
              <w:rPr>
                <w:rFonts w:ascii="Calibri" w:hAnsi="Calibri"/>
                <w:sz w:val="22"/>
                <w:szCs w:val="20"/>
              </w:rPr>
              <w:t>to assess different methods of solving quadratic equations</w:t>
            </w:r>
            <w:r w:rsidR="009B6BB3">
              <w:rPr>
                <w:rFonts w:ascii="Calibri" w:hAnsi="Calibri"/>
                <w:sz w:val="22"/>
                <w:szCs w:val="20"/>
              </w:rPr>
              <w:t>.</w:t>
            </w:r>
          </w:p>
          <w:p w:rsidR="00667425" w:rsidRDefault="0066742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870276" w:rsidRDefault="009B6BB3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B8071F">
              <w:rPr>
                <w:rFonts w:ascii="Calibri" w:hAnsi="Calibri"/>
                <w:sz w:val="22"/>
                <w:szCs w:val="20"/>
              </w:rPr>
              <w:t>Teacher conducts debrief session to focus student learning</w:t>
            </w:r>
            <w:r w:rsidR="00870276">
              <w:rPr>
                <w:rFonts w:ascii="Calibri" w:hAnsi="Calibri"/>
                <w:sz w:val="22"/>
                <w:szCs w:val="20"/>
              </w:rPr>
              <w:t>,</w:t>
            </w:r>
            <w:r w:rsidR="00B8071F">
              <w:rPr>
                <w:rFonts w:ascii="Calibri" w:hAnsi="Calibri"/>
                <w:sz w:val="22"/>
                <w:szCs w:val="20"/>
              </w:rPr>
              <w:t xml:space="preserve"> using questions such as</w:t>
            </w:r>
            <w:r w:rsidR="00870276">
              <w:rPr>
                <w:rFonts w:ascii="Calibri" w:hAnsi="Calibri"/>
                <w:sz w:val="22"/>
                <w:szCs w:val="20"/>
              </w:rPr>
              <w:t>:</w:t>
            </w:r>
          </w:p>
          <w:p w:rsidR="00667425" w:rsidRPr="00667425" w:rsidRDefault="00870276" w:rsidP="0066742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  <w:r w:rsidRPr="00667425">
              <w:rPr>
                <w:rFonts w:ascii="Calibri" w:hAnsi="Calibri"/>
                <w:sz w:val="22"/>
                <w:szCs w:val="20"/>
              </w:rPr>
              <w:t>What is the purpose of solving a quadratic equation?</w:t>
            </w:r>
          </w:p>
          <w:p w:rsidR="00870276" w:rsidRPr="00870276" w:rsidRDefault="00870276" w:rsidP="0066742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  <w:r w:rsidRPr="00870276">
              <w:rPr>
                <w:rFonts w:ascii="Calibri" w:hAnsi="Calibri"/>
                <w:sz w:val="22"/>
                <w:szCs w:val="20"/>
              </w:rPr>
              <w:t>How can the most suitable method to factorise and solve a quadratic equation be determined?</w:t>
            </w:r>
          </w:p>
          <w:p w:rsidR="00870276" w:rsidRPr="00870276" w:rsidRDefault="00870276" w:rsidP="0066742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  <w:r w:rsidRPr="00870276">
              <w:rPr>
                <w:rFonts w:ascii="Calibri" w:hAnsi="Calibri"/>
                <w:sz w:val="22"/>
                <w:szCs w:val="20"/>
              </w:rPr>
              <w:t>How can the number of solutions for a quadratic equation be determined?</w:t>
            </w:r>
          </w:p>
          <w:p w:rsidR="00870276" w:rsidRPr="00870276" w:rsidRDefault="00870276" w:rsidP="0066742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  <w:r w:rsidRPr="00870276">
              <w:rPr>
                <w:rFonts w:ascii="Calibri" w:hAnsi="Calibri"/>
                <w:sz w:val="22"/>
                <w:szCs w:val="20"/>
              </w:rPr>
              <w:t>When would there be one, two or no solutions for a quadratic equation?</w:t>
            </w:r>
          </w:p>
          <w:p w:rsidR="00870276" w:rsidRPr="00B8071F" w:rsidRDefault="00870276" w:rsidP="00667425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  <w:r w:rsidRPr="00870276">
              <w:rPr>
                <w:rFonts w:ascii="Calibri" w:hAnsi="Calibri"/>
                <w:sz w:val="22"/>
                <w:szCs w:val="20"/>
              </w:rPr>
              <w:t>If a quadratic equation cannot be factorised, what does it mean for the corresponding graph?</w:t>
            </w:r>
          </w:p>
        </w:tc>
        <w:tc>
          <w:tcPr>
            <w:tcW w:w="3118" w:type="dxa"/>
            <w:shd w:val="clear" w:color="auto" w:fill="ECECEC"/>
          </w:tcPr>
          <w:p w:rsidR="00870276" w:rsidRDefault="00870276" w:rsidP="00870276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MIDDLE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 xml:space="preserve"> </w:t>
            </w:r>
            <w:r w:rsidR="005A1061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 xml:space="preserve"> and UPPER 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YEARS</w:t>
            </w:r>
          </w:p>
          <w:p w:rsidR="00870276" w:rsidRDefault="00870276" w:rsidP="00E66F69">
            <w:pPr>
              <w:spacing w:before="20" w:after="20"/>
              <w:rPr>
                <w:rFonts w:ascii="Calibri" w:hAnsi="Calibri"/>
                <w:b/>
                <w:color w:val="FF0000"/>
                <w:sz w:val="22"/>
                <w:szCs w:val="20"/>
              </w:rPr>
            </w:pPr>
          </w:p>
          <w:p w:rsidR="009B6BB3" w:rsidRDefault="009B6BB3" w:rsidP="00E66F6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9B6BB3" w:rsidRDefault="009B6BB3" w:rsidP="00E66F6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9B6BB3" w:rsidRDefault="009B6BB3" w:rsidP="00E66F6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9B6BB3" w:rsidRDefault="009B6BB3" w:rsidP="00E66F6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9B6BB3" w:rsidRDefault="009B6BB3" w:rsidP="00E66F6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9B6BB3" w:rsidRPr="009B6BB3" w:rsidRDefault="009B6BB3" w:rsidP="00E66F6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9B6BB3" w:rsidRPr="009B6BB3" w:rsidRDefault="009B6BB3" w:rsidP="00E66F6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870276" w:rsidRPr="009B6BB3">
              <w:rPr>
                <w:rFonts w:ascii="Calibri" w:hAnsi="Calibri"/>
                <w:sz w:val="22"/>
                <w:szCs w:val="20"/>
              </w:rPr>
              <w:t xml:space="preserve">Students </w:t>
            </w:r>
            <w:r w:rsidRPr="009B6BB3">
              <w:rPr>
                <w:rFonts w:ascii="Calibri" w:hAnsi="Calibri"/>
                <w:sz w:val="22"/>
                <w:szCs w:val="20"/>
              </w:rPr>
              <w:t>solve different linear equations (ex: find x for the equation 5x + 1 = 2x – 6)</w:t>
            </w:r>
            <w:r w:rsidR="00667425">
              <w:rPr>
                <w:rFonts w:ascii="Calibri" w:hAnsi="Calibri"/>
                <w:sz w:val="22"/>
                <w:szCs w:val="20"/>
              </w:rPr>
              <w:t>.</w:t>
            </w:r>
          </w:p>
          <w:p w:rsidR="00870276" w:rsidRPr="009B6BB3" w:rsidRDefault="009B6BB3" w:rsidP="00E66F6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870276" w:rsidRPr="009B6BB3">
              <w:rPr>
                <w:rFonts w:ascii="Calibri" w:hAnsi="Calibri"/>
                <w:sz w:val="22"/>
                <w:szCs w:val="20"/>
              </w:rPr>
              <w:t>Students factorise:</w:t>
            </w:r>
          </w:p>
          <w:p w:rsidR="00870276" w:rsidRPr="009B6BB3" w:rsidRDefault="009B6BB3" w:rsidP="003F6F3B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9B6BB3">
              <w:rPr>
                <w:rFonts w:ascii="Calibri" w:hAnsi="Calibri"/>
                <w:sz w:val="22"/>
                <w:szCs w:val="20"/>
              </w:rPr>
              <w:t>-</w:t>
            </w:r>
            <w:r w:rsidR="00870276" w:rsidRPr="009B6BB3">
              <w:rPr>
                <w:rFonts w:ascii="Calibri" w:hAnsi="Calibri"/>
                <w:sz w:val="22"/>
                <w:szCs w:val="20"/>
              </w:rPr>
              <w:t xml:space="preserve"> 5 quadratic equations with an x2 coefficient of 1 and all have whole number factors.</w:t>
            </w:r>
          </w:p>
          <w:p w:rsidR="00870276" w:rsidRPr="009B6BB3" w:rsidRDefault="009B6BB3" w:rsidP="003F6F3B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9B6BB3">
              <w:rPr>
                <w:rFonts w:ascii="Calibri" w:hAnsi="Calibri"/>
                <w:sz w:val="22"/>
                <w:szCs w:val="20"/>
              </w:rPr>
              <w:t>-</w:t>
            </w:r>
            <w:r w:rsidR="00870276" w:rsidRPr="009B6BB3">
              <w:rPr>
                <w:rFonts w:ascii="Calibri" w:hAnsi="Calibri"/>
                <w:sz w:val="22"/>
                <w:szCs w:val="20"/>
              </w:rPr>
              <w:t xml:space="preserve"> 5 quadratic equations where the x2 coefficient is not 1 and all have whole number factors.</w:t>
            </w:r>
          </w:p>
          <w:p w:rsidR="00870276" w:rsidRPr="009B6BB3" w:rsidRDefault="009B6BB3" w:rsidP="003F6F3B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9B6BB3">
              <w:rPr>
                <w:rFonts w:ascii="Calibri" w:hAnsi="Calibri"/>
                <w:sz w:val="22"/>
                <w:szCs w:val="20"/>
              </w:rPr>
              <w:t>-</w:t>
            </w:r>
            <w:r w:rsidR="00870276" w:rsidRPr="009B6BB3">
              <w:rPr>
                <w:rFonts w:ascii="Calibri" w:hAnsi="Calibri"/>
                <w:sz w:val="22"/>
                <w:szCs w:val="20"/>
              </w:rPr>
              <w:t xml:space="preserve"> 5 quadratic equations that do not have whole number factors and need to be factorised using the formula</w:t>
            </w:r>
          </w:p>
          <w:p w:rsidR="00870276" w:rsidRDefault="009B6BB3" w:rsidP="009B6BB3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9B6BB3">
              <w:rPr>
                <w:rFonts w:ascii="Calibri" w:hAnsi="Calibri"/>
                <w:sz w:val="22"/>
                <w:szCs w:val="20"/>
              </w:rPr>
              <w:t>-</w:t>
            </w:r>
            <w:r w:rsidR="00870276" w:rsidRPr="009B6BB3">
              <w:rPr>
                <w:rFonts w:ascii="Calibri" w:hAnsi="Calibri"/>
                <w:sz w:val="22"/>
                <w:szCs w:val="20"/>
              </w:rPr>
              <w:t xml:space="preserve"> </w:t>
            </w:r>
            <w:proofErr w:type="gramStart"/>
            <w:r w:rsidR="00870276" w:rsidRPr="009B6BB3">
              <w:rPr>
                <w:rFonts w:ascii="Calibri" w:hAnsi="Calibri"/>
                <w:sz w:val="22"/>
                <w:szCs w:val="20"/>
              </w:rPr>
              <w:t>the</w:t>
            </w:r>
            <w:proofErr w:type="gramEnd"/>
            <w:r w:rsidR="00870276" w:rsidRPr="009B6BB3">
              <w:rPr>
                <w:rFonts w:ascii="Calibri" w:hAnsi="Calibri"/>
                <w:sz w:val="22"/>
                <w:szCs w:val="20"/>
              </w:rPr>
              <w:t xml:space="preserve"> 5 equations in c. Can be factorised using the completion of square (if necessary)</w:t>
            </w:r>
          </w:p>
          <w:p w:rsidR="00667425" w:rsidRPr="003F6F3B" w:rsidRDefault="00667425" w:rsidP="009B6BB3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</w:tc>
        <w:tc>
          <w:tcPr>
            <w:tcW w:w="3119" w:type="dxa"/>
            <w:shd w:val="clear" w:color="auto" w:fill="ECECEC"/>
          </w:tcPr>
          <w:p w:rsidR="00667425" w:rsidRDefault="00667425" w:rsidP="00870276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</w:p>
          <w:p w:rsidR="00870276" w:rsidRDefault="00870276" w:rsidP="00870276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Teachers can access to </w:t>
            </w:r>
            <w:proofErr w:type="spellStart"/>
            <w:r>
              <w:rPr>
                <w:rFonts w:ascii="Calibri" w:hAnsi="Calibri"/>
                <w:sz w:val="22"/>
                <w:szCs w:val="20"/>
              </w:rPr>
              <w:t>Ultranet</w:t>
            </w:r>
            <w:proofErr w:type="spellEnd"/>
            <w:r>
              <w:rPr>
                <w:rFonts w:ascii="Calibri" w:hAnsi="Calibri"/>
                <w:sz w:val="22"/>
                <w:szCs w:val="20"/>
              </w:rPr>
              <w:t xml:space="preserve">  </w:t>
            </w:r>
            <w:proofErr w:type="spellStart"/>
            <w:r w:rsidRPr="002A65A5">
              <w:rPr>
                <w:rFonts w:asciiTheme="minorHAnsi" w:hAnsiTheme="minorHAnsi" w:cstheme="minorHAnsi"/>
                <w:sz w:val="22"/>
                <w:szCs w:val="22"/>
              </w:rPr>
              <w:t>eBookbox</w:t>
            </w:r>
            <w:r w:rsidR="00D40E07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proofErr w:type="spellEnd"/>
            <w:r w:rsidR="00D40E07">
              <w:rPr>
                <w:rFonts w:asciiTheme="minorHAnsi" w:hAnsiTheme="minorHAnsi" w:cstheme="minorHAnsi"/>
                <w:sz w:val="22"/>
                <w:szCs w:val="22"/>
              </w:rPr>
              <w:t xml:space="preserve"> “Algebraic” and</w:t>
            </w:r>
            <w:r w:rsidRPr="002A65A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0"/>
              </w:rPr>
              <w:t xml:space="preserve">‘Quadratic and Exponential Functions’ where different interactive activities are available to work through this learning intention: </w:t>
            </w:r>
          </w:p>
          <w:p w:rsidR="00870276" w:rsidRPr="00870276" w:rsidRDefault="00667425" w:rsidP="00870276">
            <w:pPr>
              <w:pStyle w:val="Heading6"/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Q</w:t>
            </w:r>
            <w:r w:rsidR="00870276" w:rsidRPr="00870276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uadratic equation solver</w:t>
            </w:r>
            <w: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.</w:t>
            </w:r>
            <w:proofErr w:type="gramEnd"/>
          </w:p>
          <w:p w:rsidR="00870276" w:rsidRPr="00870276" w:rsidRDefault="00667425" w:rsidP="00870276">
            <w:pPr>
              <w:pStyle w:val="Heading6"/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Q</w:t>
            </w:r>
            <w:r w:rsidR="00870276" w:rsidRPr="00870276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uadratic equations section 2</w:t>
            </w:r>
            <w: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.</w:t>
            </w:r>
          </w:p>
          <w:p w:rsidR="00870276" w:rsidRPr="00870276" w:rsidRDefault="00667425" w:rsidP="00870276">
            <w:pPr>
              <w:pStyle w:val="Heading6"/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U</w:t>
            </w:r>
            <w:r w:rsidR="00870276" w:rsidRPr="00870276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sing the quadratic formula</w:t>
            </w:r>
            <w: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.</w:t>
            </w:r>
            <w:proofErr w:type="gramEnd"/>
          </w:p>
          <w:p w:rsidR="00870276" w:rsidRPr="00AD5FF0" w:rsidRDefault="00870276" w:rsidP="0087027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835" w:type="dxa"/>
            <w:shd w:val="clear" w:color="auto" w:fill="D9D9D9"/>
          </w:tcPr>
          <w:p w:rsidR="00870276" w:rsidRPr="00FC7CA0" w:rsidRDefault="00870276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FC7CA0">
              <w:rPr>
                <w:rFonts w:ascii="Calibri" w:hAnsi="Calibri"/>
                <w:b/>
                <w:sz w:val="22"/>
                <w:szCs w:val="20"/>
              </w:rPr>
              <w:t>Review Date:</w:t>
            </w:r>
          </w:p>
          <w:p w:rsidR="00870276" w:rsidRDefault="00870276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D179A3" w:rsidRDefault="00D179A3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D179A3" w:rsidRDefault="00D179A3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D179A3" w:rsidRPr="00FC7CA0" w:rsidRDefault="00D179A3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870276" w:rsidRPr="00AD5FF0" w:rsidRDefault="00870276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Reflect</w:t>
            </w:r>
            <w:r w:rsidRPr="00FC7CA0">
              <w:rPr>
                <w:rFonts w:ascii="Calibri" w:hAnsi="Calibri"/>
                <w:b/>
                <w:sz w:val="22"/>
                <w:szCs w:val="20"/>
              </w:rPr>
              <w:t>ion:</w:t>
            </w:r>
          </w:p>
        </w:tc>
      </w:tr>
      <w:tr w:rsidR="00D179A3" w:rsidRPr="00AD5FF0" w:rsidTr="009B66B7">
        <w:trPr>
          <w:trHeight w:val="618"/>
        </w:trPr>
        <w:tc>
          <w:tcPr>
            <w:tcW w:w="2660" w:type="dxa"/>
            <w:shd w:val="clear" w:color="auto" w:fill="D9D9D9"/>
          </w:tcPr>
          <w:p w:rsidR="00D179A3" w:rsidRPr="00241C85" w:rsidRDefault="00D179A3" w:rsidP="00D179A3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241C85">
              <w:rPr>
                <w:rFonts w:ascii="Calibri" w:hAnsi="Calibri"/>
                <w:b/>
                <w:sz w:val="22"/>
                <w:szCs w:val="20"/>
              </w:rPr>
              <w:t>Rationale</w:t>
            </w:r>
            <w:r>
              <w:rPr>
                <w:rFonts w:ascii="Calibri" w:hAnsi="Calibri"/>
                <w:b/>
                <w:sz w:val="22"/>
                <w:szCs w:val="20"/>
              </w:rPr>
              <w:t>:</w:t>
            </w:r>
          </w:p>
        </w:tc>
        <w:tc>
          <w:tcPr>
            <w:tcW w:w="19987" w:type="dxa"/>
            <w:gridSpan w:val="5"/>
            <w:shd w:val="clear" w:color="auto" w:fill="ECECEC"/>
          </w:tcPr>
          <w:p w:rsidR="006241FA" w:rsidRDefault="006241FA" w:rsidP="006241F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F6852">
              <w:rPr>
                <w:rFonts w:ascii="Calibri" w:hAnsi="Calibri"/>
                <w:sz w:val="22"/>
                <w:szCs w:val="20"/>
              </w:rPr>
              <w:t xml:space="preserve">Differentiated context, the activities proposed on </w:t>
            </w:r>
            <w:r w:rsidR="005A1061">
              <w:rPr>
                <w:rFonts w:ascii="Calibri" w:hAnsi="Calibri"/>
                <w:sz w:val="22"/>
                <w:szCs w:val="20"/>
              </w:rPr>
              <w:t xml:space="preserve">this Log 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can be suitable for </w:t>
            </w:r>
            <w:r w:rsidR="005A1061">
              <w:rPr>
                <w:rFonts w:ascii="Calibri" w:hAnsi="Calibri"/>
                <w:sz w:val="22"/>
                <w:szCs w:val="20"/>
              </w:rPr>
              <w:t xml:space="preserve">middle </w:t>
            </w:r>
            <w:r>
              <w:rPr>
                <w:rFonts w:ascii="Calibri" w:hAnsi="Calibri"/>
                <w:sz w:val="22"/>
                <w:szCs w:val="20"/>
              </w:rPr>
              <w:t>and upper years’ students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. </w:t>
            </w:r>
          </w:p>
          <w:p w:rsidR="00D179A3" w:rsidRPr="00FC7CA0" w:rsidRDefault="006241FA" w:rsidP="005A1061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F6852">
              <w:rPr>
                <w:rFonts w:ascii="Calibri" w:hAnsi="Calibri"/>
                <w:sz w:val="22"/>
                <w:szCs w:val="20"/>
              </w:rPr>
              <w:t xml:space="preserve">The </w:t>
            </w:r>
            <w:r>
              <w:rPr>
                <w:rFonts w:ascii="Calibri" w:hAnsi="Calibri"/>
                <w:sz w:val="22"/>
                <w:szCs w:val="20"/>
              </w:rPr>
              <w:t xml:space="preserve">PLT Log 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references </w:t>
            </w:r>
            <w:r w:rsidR="005A1061">
              <w:rPr>
                <w:rFonts w:ascii="Calibri" w:hAnsi="Calibri"/>
                <w:sz w:val="22"/>
                <w:szCs w:val="20"/>
              </w:rPr>
              <w:t>some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 eBook box</w:t>
            </w:r>
            <w:r w:rsidR="005A1061">
              <w:rPr>
                <w:rFonts w:ascii="Calibri" w:hAnsi="Calibri"/>
                <w:sz w:val="22"/>
                <w:szCs w:val="20"/>
              </w:rPr>
              <w:t>es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 </w:t>
            </w:r>
            <w:r>
              <w:rPr>
                <w:rFonts w:ascii="Calibri" w:hAnsi="Calibri"/>
                <w:sz w:val="22"/>
                <w:szCs w:val="20"/>
              </w:rPr>
              <w:t>(</w:t>
            </w:r>
            <w:r w:rsidRPr="002A65A5">
              <w:rPr>
                <w:rFonts w:asciiTheme="minorHAnsi" w:hAnsiTheme="minorHAnsi" w:cstheme="minorHAnsi"/>
                <w:sz w:val="22"/>
                <w:szCs w:val="22"/>
              </w:rPr>
              <w:t>‘</w:t>
            </w:r>
            <w:r w:rsidR="005A1061">
              <w:rPr>
                <w:rFonts w:asciiTheme="minorHAnsi" w:hAnsiTheme="minorHAnsi" w:cstheme="minorHAnsi"/>
                <w:sz w:val="22"/>
                <w:szCs w:val="22"/>
              </w:rPr>
              <w:t>Algebraic’ and ‘Quadratic and Exponential Functions’</w:t>
            </w:r>
            <w:r>
              <w:rPr>
                <w:rFonts w:ascii="Calibri" w:hAnsi="Calibri"/>
                <w:sz w:val="22"/>
                <w:szCs w:val="20"/>
              </w:rPr>
              <w:t xml:space="preserve">) 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which </w:t>
            </w:r>
            <w:r w:rsidR="005A1061">
              <w:rPr>
                <w:rFonts w:ascii="Calibri" w:hAnsi="Calibri"/>
                <w:sz w:val="22"/>
                <w:szCs w:val="20"/>
              </w:rPr>
              <w:t xml:space="preserve">are 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available on the </w:t>
            </w:r>
            <w:proofErr w:type="spellStart"/>
            <w:r w:rsidRPr="00AF6852">
              <w:rPr>
                <w:rFonts w:ascii="Calibri" w:hAnsi="Calibri"/>
                <w:sz w:val="22"/>
                <w:szCs w:val="20"/>
              </w:rPr>
              <w:t>Ultranet</w:t>
            </w:r>
            <w:proofErr w:type="spellEnd"/>
            <w:r w:rsidRPr="00AF6852">
              <w:rPr>
                <w:rFonts w:ascii="Calibri" w:hAnsi="Calibri"/>
                <w:sz w:val="22"/>
                <w:szCs w:val="20"/>
              </w:rPr>
              <w:t xml:space="preserve"> as Design Space 66512121. The activities in the eBook box should be allocated to students according to the teacher’s knowledge</w:t>
            </w:r>
            <w:r>
              <w:rPr>
                <w:rFonts w:ascii="Calibri" w:hAnsi="Calibri"/>
                <w:sz w:val="22"/>
                <w:szCs w:val="20"/>
              </w:rPr>
              <w:t>.</w:t>
            </w:r>
          </w:p>
        </w:tc>
      </w:tr>
    </w:tbl>
    <w:p w:rsidR="00BD23E7" w:rsidRPr="004A35E2" w:rsidRDefault="00440326" w:rsidP="00F041D0">
      <w:pPr>
        <w:shd w:val="clear" w:color="auto" w:fill="F2F2F2"/>
        <w:rPr>
          <w:rFonts w:ascii="Calibri" w:hAnsi="Calibri"/>
        </w:rPr>
      </w:pPr>
      <w:r>
        <w:rPr>
          <w:rFonts w:ascii="Calibri" w:hAnsi="Calibri"/>
          <w:i/>
          <w:noProof/>
          <w:sz w:val="20"/>
          <w:szCs w:val="20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AutoShape 5" o:spid="_x0000_s1026" type="#_x0000_t63" style="position:absolute;margin-left:11.8pt;margin-top:1014.7pt;width:302.25pt;height:61.55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McYQIAALcEAAAOAAAAZHJzL2Uyb0RvYy54bWysVNtu1DAQfUfiHyy/t8lu95JGm63KtkVI&#10;BSoVPsCxncTgG7Z3s+XrGTvpkoU3RB4sj2d8fGbOTDY3RyXRgTsvjK7w7DLHiGtqmNBthb9+ebgo&#10;MPKBaEak0bzCL9zjm+3bN5velnxuOiMZdwhAtC97W+EuBFtmmacdV8RfGss1OBvjFAlgujZjjvSA&#10;rmQ2z/NV1hvHrDOUew+nd4MTbxN+03AaPjeN5wHJCgO3kFaX1jqu2XZDytYR2wk60iD/wEIRoeHR&#10;E9QdCQTtnfgLSgnqjDdNuKRGZaZpBOUpB8hmlv+RzXNHLE+5QHG8PZXJ/z9Y+unw5JBgoB1GmiiQ&#10;6HYfTHoZLWN5eutLiHq2Ty4m6O2jod890mbXEd3yW+dM33HCgNQsxmdnF6Lh4Sqq+4+GAToB9FSp&#10;Y+MUcgYUmeVFHr90DCVBx6TPy0kffgyIwuFVcVUs10uMKPjWxWxVJIYZKSNYZGedD++5UShuKtxz&#10;1vJ7KYX1fEekNPuQHiGHRx+SXGxMmrBvUIBGSVD/QCS6WOSrfDW2xyRoPg0q8nWxTjmTcoQELq8c&#10;UrWMFOxBSJkM19Y76RDgV7i4e3d1Px8v+2mY1Kiv8PVyvkxcz3x+CpGKlloYXj0LUyLAVEmh4J2h&#10;tKnPo0z3mqV9IEIOe7gs9ahblGqQPBzr46h+bdgLKJi0ghmCaYfSdsb9xKiHyamw/7EnjmMkP2jo&#10;guvZYhFHLRmL5XoOhpt66qmHaApQFQ4YDdtdGMZzb51ou9geqQzaxL5sRHhtsYHVyBumA3Zn4ze1&#10;U9Tv/832FwAAAP//AwBQSwMEFAAGAAgAAAAhAPteeuziAAAADAEAAA8AAABkcnMvZG93bnJldi54&#10;bWxMj8FOwzAMhu9IvEPkSVwQSxO2aitNJzSJK4jCZbes8dpuTVI16dbx9JgTO1m2P/3+nG8m27Ez&#10;DqH1ToGYJ8DQVd60rlbw/fX2tAIWonZGd96hgisG2BT3d7nOjL+4TzyXsWYU4kKmFTQx9hnnoWrQ&#10;6jD3PTraHfxgdaR2qLkZ9IXCbcdlkqTc6tbRhUb3uG2wOpWjVbD7eDytu53YivKamsXBjP3P8V2p&#10;h9n0+gIs4hT/YfjTJ3UoyGnvR2cC6xTI55RIqolcL4ARkcqVALankVjKJfAi57dPFL8AAAD//wMA&#10;UEsBAi0AFAAGAAgAAAAhALaDOJL+AAAA4QEAABMAAAAAAAAAAAAAAAAAAAAAAFtDb250ZW50X1R5&#10;cGVzXS54bWxQSwECLQAUAAYACAAAACEAOP0h/9YAAACUAQAACwAAAAAAAAAAAAAAAAAvAQAAX3Jl&#10;bHMvLnJlbHNQSwECLQAUAAYACAAAACEAsoPjHGECAAC3BAAADgAAAAAAAAAAAAAAAAAuAgAAZHJz&#10;L2Uyb0RvYy54bWxQSwECLQAUAAYACAAAACEA+1567OIAAAAMAQAADwAAAAAAAAAAAAAAAAC7BAAA&#10;ZHJzL2Rvd25yZXYueG1sUEsFBgAAAAAEAAQA8wAAAMoFAAAAAA==&#10;" adj="2029,28250" fillcolor="#8db3e2">
            <v:textbox>
              <w:txbxContent>
                <w:p w:rsidR="00FC7CA0" w:rsidRPr="004C27C6" w:rsidRDefault="00FC7CA0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>Was the teaching intervention successful?</w:t>
                  </w:r>
                </w:p>
                <w:p w:rsidR="00FC7CA0" w:rsidRPr="004C27C6" w:rsidRDefault="00FC7CA0">
                  <w:pPr>
                    <w:rPr>
                      <w:rFonts w:ascii="Calibri" w:hAnsi="Calibri"/>
                    </w:rPr>
                  </w:pPr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 xml:space="preserve"> If yes, what, if anything would the PLT do differently?  </w:t>
                  </w:r>
                  <w:proofErr w:type="gramStart"/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>If no, why not?</w:t>
                  </w:r>
                  <w:proofErr w:type="gramEnd"/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</w:p>
    <w:sectPr w:rsidR="00BD23E7" w:rsidRPr="004A35E2" w:rsidSect="00921CFD">
      <w:headerReference w:type="default" r:id="rId9"/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01D" w:rsidRDefault="0095201D" w:rsidP="004C27C6">
      <w:r>
        <w:separator/>
      </w:r>
    </w:p>
  </w:endnote>
  <w:endnote w:type="continuationSeparator" w:id="0">
    <w:p w:rsidR="0095201D" w:rsidRDefault="0095201D" w:rsidP="004C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01D" w:rsidRDefault="0095201D" w:rsidP="004C27C6">
      <w:r>
        <w:separator/>
      </w:r>
    </w:p>
  </w:footnote>
  <w:footnote w:type="continuationSeparator" w:id="0">
    <w:p w:rsidR="0095201D" w:rsidRDefault="0095201D" w:rsidP="004C2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CA0" w:rsidRPr="00D764ED" w:rsidRDefault="003E7E21" w:rsidP="003E7E21">
    <w:pPr>
      <w:pStyle w:val="Header"/>
      <w:pBdr>
        <w:bottom w:val="thickThinSmallGap" w:sz="24" w:space="1" w:color="622423"/>
      </w:pBdr>
      <w:jc w:val="center"/>
      <w:rPr>
        <w:rFonts w:ascii="Calibri" w:hAnsi="Calibri"/>
        <w:sz w:val="48"/>
        <w:szCs w:val="48"/>
      </w:rPr>
    </w:pPr>
    <w:r>
      <w:rPr>
        <w:rFonts w:ascii="Calibri" w:hAnsi="Calibri"/>
        <w:sz w:val="48"/>
        <w:szCs w:val="48"/>
      </w:rPr>
      <w:t xml:space="preserve">Sample </w:t>
    </w:r>
    <w:r w:rsidR="00FC7CA0">
      <w:rPr>
        <w:rFonts w:ascii="Calibri" w:hAnsi="Calibri"/>
        <w:sz w:val="48"/>
        <w:szCs w:val="48"/>
      </w:rPr>
      <w:t>PLT Log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536"/>
    <w:multiLevelType w:val="hybridMultilevel"/>
    <w:tmpl w:val="F2949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91802"/>
    <w:multiLevelType w:val="multilevel"/>
    <w:tmpl w:val="68564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41726CF6"/>
    <w:multiLevelType w:val="hybridMultilevel"/>
    <w:tmpl w:val="05EC6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C3AA4"/>
    <w:multiLevelType w:val="hybridMultilevel"/>
    <w:tmpl w:val="75245090"/>
    <w:lvl w:ilvl="0" w:tplc="B16C26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80F5D"/>
    <w:multiLevelType w:val="hybridMultilevel"/>
    <w:tmpl w:val="14F2C9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FA2237"/>
    <w:multiLevelType w:val="hybridMultilevel"/>
    <w:tmpl w:val="846EF004"/>
    <w:lvl w:ilvl="0" w:tplc="4B960CCE">
      <w:start w:val="1"/>
      <w:numFmt w:val="bullet"/>
      <w:pStyle w:val="ALPOS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30864"/>
    <w:multiLevelType w:val="hybridMultilevel"/>
    <w:tmpl w:val="1EDAEBD0"/>
    <w:lvl w:ilvl="0" w:tplc="308A9A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02E62"/>
    <w:multiLevelType w:val="hybridMultilevel"/>
    <w:tmpl w:val="E414960A"/>
    <w:lvl w:ilvl="0" w:tplc="4C943B20">
      <w:start w:val="1"/>
      <w:numFmt w:val="decimal"/>
      <w:pStyle w:val="ALPOSNumbered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597725"/>
    <w:multiLevelType w:val="hybridMultilevel"/>
    <w:tmpl w:val="440E4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E1DDA"/>
    <w:multiLevelType w:val="multilevel"/>
    <w:tmpl w:val="DBF02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EA7"/>
    <w:rsid w:val="00003362"/>
    <w:rsid w:val="00073143"/>
    <w:rsid w:val="00096F92"/>
    <w:rsid w:val="000A13A5"/>
    <w:rsid w:val="000B5D4D"/>
    <w:rsid w:val="000E5E7A"/>
    <w:rsid w:val="000F3140"/>
    <w:rsid w:val="0012542F"/>
    <w:rsid w:val="0013009B"/>
    <w:rsid w:val="00166CF0"/>
    <w:rsid w:val="001763E0"/>
    <w:rsid w:val="001A590A"/>
    <w:rsid w:val="001A794F"/>
    <w:rsid w:val="001B2304"/>
    <w:rsid w:val="00203263"/>
    <w:rsid w:val="00214550"/>
    <w:rsid w:val="002303E3"/>
    <w:rsid w:val="00241C85"/>
    <w:rsid w:val="00295037"/>
    <w:rsid w:val="002958E5"/>
    <w:rsid w:val="002C741F"/>
    <w:rsid w:val="00300BF0"/>
    <w:rsid w:val="003622FA"/>
    <w:rsid w:val="003738A6"/>
    <w:rsid w:val="003A5722"/>
    <w:rsid w:val="003E7E21"/>
    <w:rsid w:val="003F1D4F"/>
    <w:rsid w:val="003F6F3B"/>
    <w:rsid w:val="00403BA6"/>
    <w:rsid w:val="004336A5"/>
    <w:rsid w:val="00440326"/>
    <w:rsid w:val="004A35E2"/>
    <w:rsid w:val="004C27C6"/>
    <w:rsid w:val="004F2F9E"/>
    <w:rsid w:val="005663A5"/>
    <w:rsid w:val="00590E40"/>
    <w:rsid w:val="005A1061"/>
    <w:rsid w:val="005B031B"/>
    <w:rsid w:val="005C78AF"/>
    <w:rsid w:val="005F2E6C"/>
    <w:rsid w:val="00614B7C"/>
    <w:rsid w:val="006241FA"/>
    <w:rsid w:val="00667425"/>
    <w:rsid w:val="006A146E"/>
    <w:rsid w:val="006C4BD7"/>
    <w:rsid w:val="006F5A54"/>
    <w:rsid w:val="00790725"/>
    <w:rsid w:val="00795B2E"/>
    <w:rsid w:val="007C2C0F"/>
    <w:rsid w:val="007F69F2"/>
    <w:rsid w:val="00801884"/>
    <w:rsid w:val="00870276"/>
    <w:rsid w:val="008C0080"/>
    <w:rsid w:val="008C6E39"/>
    <w:rsid w:val="008E7620"/>
    <w:rsid w:val="008F55D7"/>
    <w:rsid w:val="0091103D"/>
    <w:rsid w:val="00921CFD"/>
    <w:rsid w:val="009400EE"/>
    <w:rsid w:val="0095201D"/>
    <w:rsid w:val="009565A9"/>
    <w:rsid w:val="00970727"/>
    <w:rsid w:val="0097783E"/>
    <w:rsid w:val="009B6BB3"/>
    <w:rsid w:val="009F5834"/>
    <w:rsid w:val="00A80293"/>
    <w:rsid w:val="00AD5FF0"/>
    <w:rsid w:val="00AF3029"/>
    <w:rsid w:val="00B00127"/>
    <w:rsid w:val="00B21440"/>
    <w:rsid w:val="00B62DDA"/>
    <w:rsid w:val="00B77AED"/>
    <w:rsid w:val="00B8071F"/>
    <w:rsid w:val="00B841A6"/>
    <w:rsid w:val="00B951FB"/>
    <w:rsid w:val="00BA4D72"/>
    <w:rsid w:val="00BA5FAF"/>
    <w:rsid w:val="00BD23E7"/>
    <w:rsid w:val="00C276E3"/>
    <w:rsid w:val="00C4353F"/>
    <w:rsid w:val="00C709FE"/>
    <w:rsid w:val="00CA70D4"/>
    <w:rsid w:val="00CF2524"/>
    <w:rsid w:val="00CF63A1"/>
    <w:rsid w:val="00D179A3"/>
    <w:rsid w:val="00D40E07"/>
    <w:rsid w:val="00D764ED"/>
    <w:rsid w:val="00DA6078"/>
    <w:rsid w:val="00DD4659"/>
    <w:rsid w:val="00DE3AC1"/>
    <w:rsid w:val="00DE621B"/>
    <w:rsid w:val="00E16E3A"/>
    <w:rsid w:val="00E26C18"/>
    <w:rsid w:val="00E54E70"/>
    <w:rsid w:val="00E66F69"/>
    <w:rsid w:val="00EA3BBA"/>
    <w:rsid w:val="00ED5EA7"/>
    <w:rsid w:val="00F041D0"/>
    <w:rsid w:val="00F115DD"/>
    <w:rsid w:val="00F31E9A"/>
    <w:rsid w:val="00F442E4"/>
    <w:rsid w:val="00F73B00"/>
    <w:rsid w:val="00FC7CA0"/>
    <w:rsid w:val="00FD009F"/>
    <w:rsid w:val="00FD26E6"/>
    <w:rsid w:val="00FF19C3"/>
    <w:rsid w:val="00F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  <o:rules v:ext="edit">
        <o:r id="V:Rule1" type="callout" idref="#AutoShape 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103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110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10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03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rsid w:val="0087027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OSReflectionsbox">
    <w:name w:val="ALPOS Reflections box"/>
    <w:basedOn w:val="Normal"/>
    <w:autoRedefine/>
    <w:qFormat/>
    <w:rsid w:val="0091103D"/>
    <w:pPr>
      <w:pBdr>
        <w:top w:val="single" w:sz="12" w:space="12" w:color="C00000"/>
        <w:left w:val="single" w:sz="12" w:space="4" w:color="C00000"/>
        <w:bottom w:val="single" w:sz="12" w:space="12" w:color="C00000"/>
        <w:right w:val="single" w:sz="12" w:space="4" w:color="C00000"/>
      </w:pBdr>
      <w:shd w:val="clear" w:color="auto" w:fill="E0E0E0"/>
      <w:spacing w:before="120" w:after="120" w:line="276" w:lineRule="auto"/>
      <w:jc w:val="center"/>
    </w:pPr>
    <w:rPr>
      <w:rFonts w:ascii="Calibri" w:eastAsia="Calibri" w:hAnsi="Calibri"/>
      <w:i/>
      <w:iCs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1103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1103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1103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Emphasis">
    <w:name w:val="Emphasis"/>
    <w:basedOn w:val="DefaultParagraphFont"/>
    <w:qFormat/>
    <w:rsid w:val="0091103D"/>
    <w:rPr>
      <w:i/>
      <w:iCs/>
    </w:rPr>
  </w:style>
  <w:style w:type="paragraph" w:styleId="ListParagraph">
    <w:name w:val="List Paragraph"/>
    <w:basedOn w:val="Normal"/>
    <w:uiPriority w:val="34"/>
    <w:qFormat/>
    <w:rsid w:val="0091103D"/>
    <w:pPr>
      <w:ind w:left="720"/>
      <w:contextualSpacing/>
    </w:pPr>
  </w:style>
  <w:style w:type="paragraph" w:customStyle="1" w:styleId="ALPOS1">
    <w:name w:val="ALPOS 1"/>
    <w:basedOn w:val="Heading2"/>
    <w:autoRedefine/>
    <w:qFormat/>
    <w:rsid w:val="0091103D"/>
    <w:pPr>
      <w:shd w:val="pct15" w:color="auto" w:fill="CC0000"/>
      <w:tabs>
        <w:tab w:val="left" w:pos="720"/>
      </w:tabs>
      <w:spacing w:before="360" w:after="360"/>
      <w:ind w:left="720" w:hanging="720"/>
      <w:jc w:val="center"/>
    </w:pPr>
    <w:rPr>
      <w:rFonts w:ascii="Calibri" w:hAnsi="Calibri"/>
      <w:snapToGrid w:val="0"/>
      <w:sz w:val="40"/>
      <w:szCs w:val="40"/>
      <w:lang w:eastAsia="en-US"/>
    </w:rPr>
  </w:style>
  <w:style w:type="paragraph" w:customStyle="1" w:styleId="ALPOS2">
    <w:name w:val="ALPOS 2"/>
    <w:basedOn w:val="Heading3"/>
    <w:autoRedefine/>
    <w:qFormat/>
    <w:rsid w:val="0091103D"/>
    <w:pPr>
      <w:pBdr>
        <w:bottom w:val="single" w:sz="12" w:space="4" w:color="CC0000"/>
      </w:pBdr>
      <w:spacing w:before="360" w:after="360"/>
      <w:ind w:right="6"/>
    </w:pPr>
    <w:rPr>
      <w:rFonts w:ascii="Calibri" w:hAnsi="Calibri"/>
      <w:i/>
      <w:snapToGrid w:val="0"/>
      <w:sz w:val="28"/>
      <w:szCs w:val="22"/>
      <w:lang w:eastAsia="en-US"/>
    </w:rPr>
  </w:style>
  <w:style w:type="paragraph" w:customStyle="1" w:styleId="ALPOSBody">
    <w:name w:val="ALPOS Body"/>
    <w:basedOn w:val="Normal"/>
    <w:link w:val="ALPOSBodyChar"/>
    <w:qFormat/>
    <w:rsid w:val="0091103D"/>
    <w:pPr>
      <w:spacing w:after="240" w:line="276" w:lineRule="auto"/>
    </w:pPr>
    <w:rPr>
      <w:rFonts w:ascii="Calibri" w:hAnsi="Calibri"/>
      <w:sz w:val="26"/>
    </w:rPr>
  </w:style>
  <w:style w:type="character" w:customStyle="1" w:styleId="ALPOSBodyChar">
    <w:name w:val="ALPOS Body Char"/>
    <w:basedOn w:val="DefaultParagraphFont"/>
    <w:link w:val="ALPOSBody"/>
    <w:rsid w:val="0091103D"/>
    <w:rPr>
      <w:rFonts w:ascii="Calibri" w:hAnsi="Calibri"/>
      <w:sz w:val="26"/>
      <w:szCs w:val="24"/>
    </w:rPr>
  </w:style>
  <w:style w:type="paragraph" w:customStyle="1" w:styleId="ALPOS3">
    <w:name w:val="ALPOS 3"/>
    <w:basedOn w:val="Heading4"/>
    <w:autoRedefine/>
    <w:qFormat/>
    <w:rsid w:val="0091103D"/>
    <w:pPr>
      <w:keepLines w:val="0"/>
      <w:spacing w:before="240" w:after="240"/>
    </w:pPr>
    <w:rPr>
      <w:rFonts w:ascii="Calibri" w:hAnsi="Calibri"/>
      <w:iCs w:val="0"/>
      <w:color w:val="CC0000"/>
      <w:sz w:val="28"/>
      <w:szCs w:val="22"/>
    </w:rPr>
  </w:style>
  <w:style w:type="paragraph" w:customStyle="1" w:styleId="ALPOSNumbered">
    <w:name w:val="ALPOS Numbered"/>
    <w:basedOn w:val="Normal"/>
    <w:qFormat/>
    <w:rsid w:val="0091103D"/>
    <w:pPr>
      <w:numPr>
        <w:numId w:val="2"/>
      </w:numPr>
      <w:spacing w:after="120"/>
    </w:pPr>
    <w:rPr>
      <w:rFonts w:ascii="Calibri" w:hAnsi="Calibri"/>
      <w:sz w:val="26"/>
    </w:rPr>
  </w:style>
  <w:style w:type="character" w:customStyle="1" w:styleId="Heading1Char">
    <w:name w:val="Heading 1 Char"/>
    <w:basedOn w:val="DefaultParagraphFont"/>
    <w:link w:val="Heading1"/>
    <w:rsid w:val="0091103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103D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10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103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03D"/>
    <w:pPr>
      <w:spacing w:line="276" w:lineRule="auto"/>
      <w:outlineLvl w:val="9"/>
    </w:pPr>
    <w:rPr>
      <w:lang w:val="en-US" w:eastAsia="en-US"/>
    </w:rPr>
  </w:style>
  <w:style w:type="paragraph" w:customStyle="1" w:styleId="ALPOSBulleted">
    <w:name w:val="ALPOS Bulleted"/>
    <w:basedOn w:val="Normal"/>
    <w:qFormat/>
    <w:rsid w:val="0091103D"/>
    <w:pPr>
      <w:numPr>
        <w:numId w:val="3"/>
      </w:numPr>
      <w:spacing w:after="120"/>
    </w:pPr>
    <w:rPr>
      <w:rFonts w:ascii="Calibri" w:eastAsia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7C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7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C6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87027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103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110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10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03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OSReflectionsbox">
    <w:name w:val="ALPOS Reflections box"/>
    <w:basedOn w:val="Normal"/>
    <w:autoRedefine/>
    <w:qFormat/>
    <w:rsid w:val="0091103D"/>
    <w:pPr>
      <w:pBdr>
        <w:top w:val="single" w:sz="12" w:space="12" w:color="C00000"/>
        <w:left w:val="single" w:sz="12" w:space="4" w:color="C00000"/>
        <w:bottom w:val="single" w:sz="12" w:space="12" w:color="C00000"/>
        <w:right w:val="single" w:sz="12" w:space="4" w:color="C00000"/>
      </w:pBdr>
      <w:shd w:val="clear" w:color="auto" w:fill="E0E0E0"/>
      <w:spacing w:before="120" w:after="120" w:line="276" w:lineRule="auto"/>
      <w:jc w:val="center"/>
    </w:pPr>
    <w:rPr>
      <w:rFonts w:ascii="Calibri" w:eastAsia="Calibri" w:hAnsi="Calibri"/>
      <w:i/>
      <w:iCs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1103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1103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1103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Emphasis">
    <w:name w:val="Emphasis"/>
    <w:basedOn w:val="DefaultParagraphFont"/>
    <w:qFormat/>
    <w:rsid w:val="0091103D"/>
    <w:rPr>
      <w:i/>
      <w:iCs/>
    </w:rPr>
  </w:style>
  <w:style w:type="paragraph" w:styleId="ListParagraph">
    <w:name w:val="List Paragraph"/>
    <w:basedOn w:val="Normal"/>
    <w:uiPriority w:val="34"/>
    <w:qFormat/>
    <w:rsid w:val="0091103D"/>
    <w:pPr>
      <w:ind w:left="720"/>
      <w:contextualSpacing/>
    </w:pPr>
  </w:style>
  <w:style w:type="paragraph" w:customStyle="1" w:styleId="ALPOS1">
    <w:name w:val="ALPOS 1"/>
    <w:basedOn w:val="Heading2"/>
    <w:autoRedefine/>
    <w:qFormat/>
    <w:rsid w:val="0091103D"/>
    <w:pPr>
      <w:shd w:val="pct15" w:color="auto" w:fill="CC0000"/>
      <w:tabs>
        <w:tab w:val="left" w:pos="720"/>
      </w:tabs>
      <w:spacing w:before="360" w:after="360"/>
      <w:ind w:left="720" w:hanging="720"/>
      <w:jc w:val="center"/>
    </w:pPr>
    <w:rPr>
      <w:rFonts w:ascii="Calibri" w:hAnsi="Calibri"/>
      <w:snapToGrid w:val="0"/>
      <w:sz w:val="40"/>
      <w:szCs w:val="40"/>
      <w:lang w:eastAsia="en-US"/>
    </w:rPr>
  </w:style>
  <w:style w:type="paragraph" w:customStyle="1" w:styleId="ALPOS2">
    <w:name w:val="ALPOS 2"/>
    <w:basedOn w:val="Heading3"/>
    <w:autoRedefine/>
    <w:qFormat/>
    <w:rsid w:val="0091103D"/>
    <w:pPr>
      <w:pBdr>
        <w:bottom w:val="single" w:sz="12" w:space="4" w:color="CC0000"/>
      </w:pBdr>
      <w:spacing w:before="360" w:after="360"/>
      <w:ind w:right="6"/>
    </w:pPr>
    <w:rPr>
      <w:rFonts w:ascii="Calibri" w:hAnsi="Calibri"/>
      <w:i/>
      <w:snapToGrid w:val="0"/>
      <w:sz w:val="28"/>
      <w:szCs w:val="22"/>
      <w:lang w:eastAsia="en-US"/>
    </w:rPr>
  </w:style>
  <w:style w:type="paragraph" w:customStyle="1" w:styleId="ALPOSBody">
    <w:name w:val="ALPOS Body"/>
    <w:basedOn w:val="Normal"/>
    <w:link w:val="ALPOSBodyChar"/>
    <w:qFormat/>
    <w:rsid w:val="0091103D"/>
    <w:pPr>
      <w:spacing w:after="240" w:line="276" w:lineRule="auto"/>
    </w:pPr>
    <w:rPr>
      <w:rFonts w:ascii="Calibri" w:hAnsi="Calibri"/>
      <w:sz w:val="26"/>
    </w:rPr>
  </w:style>
  <w:style w:type="character" w:customStyle="1" w:styleId="ALPOSBodyChar">
    <w:name w:val="ALPOS Body Char"/>
    <w:basedOn w:val="DefaultParagraphFont"/>
    <w:link w:val="ALPOSBody"/>
    <w:rsid w:val="0091103D"/>
    <w:rPr>
      <w:rFonts w:ascii="Calibri" w:hAnsi="Calibri"/>
      <w:sz w:val="26"/>
      <w:szCs w:val="24"/>
    </w:rPr>
  </w:style>
  <w:style w:type="paragraph" w:customStyle="1" w:styleId="ALPOS3">
    <w:name w:val="ALPOS 3"/>
    <w:basedOn w:val="Heading4"/>
    <w:autoRedefine/>
    <w:qFormat/>
    <w:rsid w:val="0091103D"/>
    <w:pPr>
      <w:keepLines w:val="0"/>
      <w:spacing w:before="240" w:after="240"/>
    </w:pPr>
    <w:rPr>
      <w:rFonts w:ascii="Calibri" w:hAnsi="Calibri"/>
      <w:iCs w:val="0"/>
      <w:color w:val="CC0000"/>
      <w:sz w:val="28"/>
      <w:szCs w:val="22"/>
    </w:rPr>
  </w:style>
  <w:style w:type="paragraph" w:customStyle="1" w:styleId="ALPOSNumbered">
    <w:name w:val="ALPOS Numbered"/>
    <w:basedOn w:val="Normal"/>
    <w:qFormat/>
    <w:rsid w:val="0091103D"/>
    <w:pPr>
      <w:numPr>
        <w:numId w:val="2"/>
      </w:numPr>
      <w:spacing w:after="120"/>
    </w:pPr>
    <w:rPr>
      <w:rFonts w:ascii="Calibri" w:hAnsi="Calibri"/>
      <w:sz w:val="26"/>
    </w:rPr>
  </w:style>
  <w:style w:type="character" w:customStyle="1" w:styleId="Heading1Char">
    <w:name w:val="Heading 1 Char"/>
    <w:basedOn w:val="DefaultParagraphFont"/>
    <w:link w:val="Heading1"/>
    <w:rsid w:val="0091103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103D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10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103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03D"/>
    <w:pPr>
      <w:spacing w:line="276" w:lineRule="auto"/>
      <w:outlineLvl w:val="9"/>
    </w:pPr>
    <w:rPr>
      <w:lang w:val="en-US" w:eastAsia="en-US"/>
    </w:rPr>
  </w:style>
  <w:style w:type="paragraph" w:customStyle="1" w:styleId="ALPOSBulleted">
    <w:name w:val="ALPOS Bulleted"/>
    <w:basedOn w:val="Normal"/>
    <w:qFormat/>
    <w:rsid w:val="0091103D"/>
    <w:pPr>
      <w:numPr>
        <w:numId w:val="3"/>
      </w:numPr>
      <w:spacing w:after="120"/>
    </w:pPr>
    <w:rPr>
      <w:rFonts w:ascii="Calibri" w:eastAsia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7C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7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5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1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897D5-3D81-4544-A77D-DF6A89A7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PLT Log - Literacy</vt:lpstr>
    </vt:vector>
  </TitlesOfParts>
  <Company>The University of Melbourne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PLT Log - Literacy</dc:title>
  <dc:creator>mcfr</dc:creator>
  <cp:lastModifiedBy>Alejandra Arratia Martinez</cp:lastModifiedBy>
  <cp:revision>10</cp:revision>
  <cp:lastPrinted>2013-03-05T03:38:00Z</cp:lastPrinted>
  <dcterms:created xsi:type="dcterms:W3CDTF">2013-04-03T02:14:00Z</dcterms:created>
  <dcterms:modified xsi:type="dcterms:W3CDTF">2013-04-17T02:59:00Z</dcterms:modified>
</cp:coreProperties>
</file>