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CC" w:rsidRPr="00895824" w:rsidRDefault="00463ECC" w:rsidP="00463ECC">
      <w:pPr>
        <w:spacing w:after="0"/>
        <w:jc w:val="center"/>
        <w:rPr>
          <w:b/>
          <w:u w:val="single"/>
        </w:rPr>
      </w:pPr>
      <w:r w:rsidRPr="004F1AE4">
        <w:rPr>
          <w:b/>
          <w:u w:val="single"/>
        </w:rPr>
        <w:t>TAXONOMY FOR INDENTIFYING, CLASSIFYING AND IN</w:t>
      </w:r>
      <w:r>
        <w:rPr>
          <w:b/>
          <w:u w:val="single"/>
        </w:rPr>
        <w:t>TERRELATING TEACHING STRATEGIES</w:t>
      </w:r>
      <w:r>
        <w:rPr>
          <w:rStyle w:val="FootnoteReference"/>
          <w:b/>
          <w:u w:val="single"/>
        </w:rPr>
        <w:footnoteReference w:id="1"/>
      </w:r>
      <w:r>
        <w:rPr>
          <w:b/>
          <w:u w:val="single"/>
        </w:rPr>
        <w:t xml:space="preserve"> – Geometry</w:t>
      </w:r>
    </w:p>
    <w:tbl>
      <w:tblPr>
        <w:tblW w:w="2279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951"/>
        <w:gridCol w:w="2605"/>
        <w:gridCol w:w="2606"/>
        <w:gridCol w:w="2606"/>
        <w:gridCol w:w="2606"/>
        <w:gridCol w:w="2605"/>
        <w:gridCol w:w="2606"/>
        <w:gridCol w:w="2606"/>
        <w:gridCol w:w="2606"/>
      </w:tblGrid>
      <w:tr w:rsidR="00F60641" w:rsidRPr="00C50F3E" w:rsidTr="00AF6ABC">
        <w:trPr>
          <w:trHeight w:val="1109"/>
          <w:tblHeader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F60641" w:rsidRPr="00C50F3E" w:rsidRDefault="00F60641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CATEGORIES</w:t>
            </w:r>
          </w:p>
        </w:tc>
        <w:tc>
          <w:tcPr>
            <w:tcW w:w="2605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Associative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Group students based on their skills, need</w:t>
            </w:r>
            <w:r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s</w:t>
            </w: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 and interests to help facilitate mental, emotional, and/or social growth.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Deliberative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Encourage a thoughtful exchange of ideas to promote cognitive, social, and verbal communications skills.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Expositive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Provide information, oral or written, in an orderly, authoritative and intelligible manner, to a receptive audience.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Individualistic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Provide instruc</w:t>
            </w:r>
            <w:r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tion designed to meet the skill</w:t>
            </w: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 needs and interests of the student, based on individual assistance. </w:t>
            </w:r>
          </w:p>
        </w:tc>
        <w:tc>
          <w:tcPr>
            <w:tcW w:w="2605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Interrogative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Use questioning skills to encourage participation, clarify and evaluate understanding and promote higher thinking.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Investigative</w:t>
            </w:r>
          </w:p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 xml:space="preserve">Solve problems, based on inductive reasoning, by collecting and analysing data, and drawing conclusions.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Performative</w:t>
            </w:r>
          </w:p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>Encourage creative, aesthetic, and or psychomotor expression based on the dramatic/fine arts, and physical skills.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Technological</w:t>
            </w:r>
          </w:p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 xml:space="preserve">Allow students to access and record information by means of mechanical devices, from film projectors to computers. </w:t>
            </w:r>
          </w:p>
        </w:tc>
      </w:tr>
      <w:tr w:rsidR="00F60641" w:rsidRPr="00C50F3E" w:rsidTr="000340A4">
        <w:trPr>
          <w:trHeight w:val="956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0641" w:rsidRPr="00C50F3E" w:rsidRDefault="00F60641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STRATEGIES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dyads, partners, cross/multi-age, ability and interest groups, heterogeneous, homogeneous, cooperative learning teams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debate, round table, conference, panel, symposium, magic circle, fishbowl, brainstorm, buzz session, class discussion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lecture, recitation, review, oral or written report, textual readings, graphical materials, demonstration, modelling, testing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programmed self-paced, packet, contract, learning styles, mastery learning, independent study, tutorial, interest centres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convergent, divergent, prompt, probe, redirect, repetition, interview, open-ended, higher level Socratic questioning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E.g. inquiry, exploration, problem solving, critical thinking, experimentation, laboratory, case study/method, discovery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E.g. dramatic play, role play, story-telling, choral reading, calisthenics, dance, mock trial, rehearsal, simulation, gaming</w:t>
            </w: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FFFFFF" w:themeFill="background1"/>
          </w:tcPr>
          <w:p w:rsidR="00F60641" w:rsidRPr="00C50F3E" w:rsidRDefault="00F60641" w:rsidP="00E20AE9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E.g. audio/video-recording, data/film projection, televising, videoconferencing, word processing, </w:t>
            </w:r>
            <w:proofErr w:type="spellStart"/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webquest</w:t>
            </w:r>
            <w:proofErr w:type="spellEnd"/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, emailing</w:t>
            </w:r>
          </w:p>
        </w:tc>
      </w:tr>
      <w:tr w:rsidR="00F60641" w:rsidRPr="00C50F3E" w:rsidTr="000340A4">
        <w:trPr>
          <w:trHeight w:val="3816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0641" w:rsidRPr="00C50F3E" w:rsidRDefault="00F60641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STRATEGY</w:t>
            </w:r>
          </w:p>
          <w:p w:rsidR="00F60641" w:rsidRPr="00C50F3E" w:rsidRDefault="00F60641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OBJECTIVES</w:t>
            </w:r>
          </w:p>
        </w:tc>
        <w:tc>
          <w:tcPr>
            <w:tcW w:w="2605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Encourage students to develop particular skills with the support of group members;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Facilitate a spirit of cooperation, decision making, and task resolution through group interaction;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Help each group member achieve self-confidence and self-esteem through a non-threatening group atmosphere;</w:t>
            </w:r>
            <w:r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group members to respect each other’s contributions, weigh the merits of opposing arguments, and to achieve group consensus.</w:t>
            </w: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student to examine attitudes and opinions objectively and to be receptive to new ideas;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Help students achieve higher levels of thinking, such as analysis, synthesis and evaluation;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Promote a consensus decision making after carefully examining various positions;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Develop communication skills by encouraging students to express their ideas carefully and logically</w:t>
            </w: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Develop the listener’s ability to identify the essential information by means of note- taking, highlighting text etc.;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Provide a body of precise information that the instructor can hold the listener responsible for learning;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Be efficient because the presenter can determine the amount of content and the time;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Allow the providing source a structure that will minimise digressions and extraneous information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Provide for personal one-on-one attention when needed;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R</w:t>
            </w: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educe the amount of frustration students might experience from group competition;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Allow individuals to assume responsibility and directing much of their own learning;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Provide a sense of security by allowing the individual to work at a comfortable pace.</w:t>
            </w:r>
          </w:p>
        </w:tc>
        <w:tc>
          <w:tcPr>
            <w:tcW w:w="2605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a sequential development of thinking skills from recalling information to constructing generalisations and making value judgements;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Prompt students to identify critical information and to emphasise relevant information;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active participation by giving each student an opportunity to ask and respond to questions;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Improve the student’s achievement and sense of accomplishment by asking appropriate questions and allowing sufficient time to respond.</w:t>
            </w:r>
          </w:p>
          <w:p w:rsidR="00F60641" w:rsidRPr="00C50F3E" w:rsidRDefault="00F60641" w:rsidP="00E20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Increase motivation by allowing students to direct much of their own investigation with the teacher’s guidance;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Promote greater understanding and increased retention by often providing for active and hands-on learning;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Encourage the development of social skills and interdependence by means of small group investigations; and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Require students to arrive at valid conclusions based on supporting data.</w:t>
            </w:r>
          </w:p>
          <w:p w:rsidR="00F60641" w:rsidRPr="00C50F3E" w:rsidRDefault="00F60641" w:rsidP="00E20AE9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self-discipline by requiring practice and rehearsal;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Make learning more personal and relevant to students by fulfilling their cognitive, emotional physical and aesthetic needs;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the development and expression of personal values and feelings;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i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Promote social responsibilities and values by means of group interaction, mutual</w:t>
            </w:r>
            <w:r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assistance and shared decision</w:t>
            </w: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making</w:t>
            </w:r>
            <w:r w:rsidRPr="00C50F3E">
              <w:rPr>
                <w:rFonts w:asciiTheme="minorHAnsi" w:eastAsia="Times New Roman" w:hAnsiTheme="minorHAnsi" w:cs="Calibri"/>
                <w:i/>
                <w:color w:val="000000"/>
                <w:sz w:val="16"/>
                <w:szCs w:val="16"/>
              </w:rPr>
              <w:t>.</w:t>
            </w:r>
          </w:p>
          <w:p w:rsidR="00F60641" w:rsidRPr="00C50F3E" w:rsidRDefault="00F60641" w:rsidP="00E20AE9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F60641" w:rsidRPr="00C50F3E" w:rsidRDefault="00F60641" w:rsidP="00E20A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To increase attention and motivation </w:t>
            </w:r>
            <w:r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as </w:t>
            </w: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students </w:t>
            </w:r>
            <w:r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often </w:t>
            </w: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regard technology as a major source of entertainment and learning; 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Help organise information, provide multi-sensory communication, and immediate feedback, especially in the case of interactive technology;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Provide students with technical, interpersonal, and communication skills needed to be successful in the workplace; and</w:t>
            </w:r>
          </w:p>
          <w:p w:rsidR="00F60641" w:rsidRPr="00C50F3E" w:rsidRDefault="00F60641" w:rsidP="00E20A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Encourage active participation and student-centred learning by means of interactive strategies.</w:t>
            </w: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Use of coordinates and absolute value to find distance between points in the plane. Equation of the line and interpretation of slope as a constant rate of change.</w:t>
            </w:r>
            <w:r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Describe geometric shape using equations. Find/visualise solution to set of equations in a form of geometric curve.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 w:rsidP="00F60641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Solve inequalities graphically.</w:t>
            </w:r>
            <w:r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Calculate the length of an arc of a circle and area of a corresponding section. Find the area of a trapezium. Use formulas for volume of cylinder, cone and sphere to solve both mathematical and real life problems.</w:t>
            </w:r>
            <w:r w:rsidR="00F60641"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 xml:space="preserve">Apply Pythagoras theorem in both 2D and 3D to determine unknown length.  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 xml:space="preserve">Relationship between intersection of the lines and solution to the simultaneous linear equations. Apply Pythagoras to find distance between two </w:t>
            </w:r>
            <w:r w:rsidRPr="009377C8">
              <w:rPr>
                <w:sz w:val="16"/>
                <w:szCs w:val="16"/>
              </w:rPr>
              <w:lastRenderedPageBreak/>
              <w:t>points on the plane.</w:t>
            </w:r>
            <w:r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Describe the two-dimensional figures that result from slicing three-dimensional figures.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 w:rsidP="00334DA0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lastRenderedPageBreak/>
              <w:t>Name and classify different polygons. Use formulas for the area</w:t>
            </w:r>
            <w:r w:rsidR="00F60641">
              <w:rPr>
                <w:sz w:val="16"/>
                <w:szCs w:val="16"/>
              </w:rPr>
              <w:t xml:space="preserve"> and circumference of a circle. </w:t>
            </w:r>
            <w:r w:rsidRPr="009377C8">
              <w:rPr>
                <w:sz w:val="16"/>
                <w:szCs w:val="16"/>
              </w:rPr>
              <w:t>Solve problem involving scale drawings of geometric figures requiring computing their actual lengths and areas from a scale drawing.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Identify parts of similar and congruent shapes and use proportional relationship to find missing measures. Identify and use different properties of quadrilaterals.</w:t>
            </w:r>
            <w:r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Classify 2D shapes in hierarchical order based o</w:t>
            </w:r>
            <w:r w:rsidR="00F60641">
              <w:rPr>
                <w:sz w:val="16"/>
                <w:szCs w:val="16"/>
              </w:rPr>
              <w:t xml:space="preserve">n their geometrical properties. </w:t>
            </w:r>
            <w:r w:rsidRPr="009377C8">
              <w:rPr>
                <w:sz w:val="16"/>
                <w:szCs w:val="16"/>
              </w:rPr>
              <w:t>Reflect, translate and rotate figures by using appropriate tools and methods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 w:rsidP="00AF6ABC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Find the area of right triangles, regular triangles, special quadrilaterals, and regular polygons (pentagon,</w:t>
            </w:r>
            <w:r>
              <w:rPr>
                <w:sz w:val="16"/>
                <w:szCs w:val="16"/>
              </w:rPr>
              <w:t xml:space="preserve"> hexagon, </w:t>
            </w:r>
            <w:proofErr w:type="gramStart"/>
            <w:r>
              <w:rPr>
                <w:sz w:val="16"/>
                <w:szCs w:val="16"/>
              </w:rPr>
              <w:t>octagon</w:t>
            </w:r>
            <w:proofErr w:type="gramEnd"/>
            <w:r w:rsidRPr="009377C8">
              <w:rPr>
                <w:sz w:val="16"/>
                <w:szCs w:val="16"/>
              </w:rPr>
              <w:t>) by composing into rectangles or decomposing into triangles or other familiar shapes. Identif</w:t>
            </w:r>
            <w:r w:rsidR="00F60641">
              <w:rPr>
                <w:sz w:val="16"/>
                <w:szCs w:val="16"/>
              </w:rPr>
              <w:t xml:space="preserve">y similar and congruent shapes. </w:t>
            </w:r>
            <w:r w:rsidRPr="009377C8">
              <w:rPr>
                <w:sz w:val="16"/>
                <w:szCs w:val="16"/>
              </w:rPr>
              <w:t>Draw rectangles/triangles in the coordinate plane given coordinates for the vertices</w:t>
            </w:r>
            <w:r w:rsidR="00F60641">
              <w:rPr>
                <w:sz w:val="16"/>
                <w:szCs w:val="16"/>
              </w:rPr>
              <w:t>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 w:rsidP="00F60641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Apply rotational and line symmetry.</w:t>
            </w:r>
            <w:r w:rsidR="00F60641"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Recognise and identify right triangle as a special category amongst other triangles.</w:t>
            </w:r>
            <w:r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Represent three-dimensional figures using nets made up of rectangles and use the nets to find the surface area of these figures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9377C8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9377C8" w:rsidP="005E4618">
            <w:pPr>
              <w:rPr>
                <w:color w:val="000000"/>
                <w:sz w:val="16"/>
                <w:szCs w:val="16"/>
              </w:rPr>
            </w:pPr>
            <w:r w:rsidRPr="009377C8">
              <w:rPr>
                <w:sz w:val="16"/>
                <w:szCs w:val="16"/>
              </w:rPr>
              <w:t>Define and us</w:t>
            </w:r>
            <w:r w:rsidR="002C5ACC">
              <w:rPr>
                <w:sz w:val="16"/>
                <w:szCs w:val="16"/>
              </w:rPr>
              <w:t>es coordinate system as two per</w:t>
            </w:r>
            <w:r w:rsidR="002C5ACC" w:rsidRPr="009377C8">
              <w:rPr>
                <w:sz w:val="16"/>
                <w:szCs w:val="16"/>
              </w:rPr>
              <w:t>pendicular</w:t>
            </w:r>
            <w:r w:rsidRPr="009377C8">
              <w:rPr>
                <w:sz w:val="16"/>
                <w:szCs w:val="16"/>
              </w:rPr>
              <w:t xml:space="preserve"> lines with </w:t>
            </w:r>
            <w:r w:rsidRPr="009377C8">
              <w:rPr>
                <w:sz w:val="16"/>
                <w:szCs w:val="16"/>
              </w:rPr>
              <w:lastRenderedPageBreak/>
              <w:t xml:space="preserve">the intersection in the origin.  </w:t>
            </w:r>
            <w:r w:rsidR="002C5ACC" w:rsidRPr="009377C8">
              <w:rPr>
                <w:sz w:val="16"/>
                <w:szCs w:val="16"/>
              </w:rPr>
              <w:t>Use coordinates</w:t>
            </w:r>
            <w:r w:rsidRPr="009377C8">
              <w:rPr>
                <w:sz w:val="16"/>
                <w:szCs w:val="16"/>
              </w:rPr>
              <w:t xml:space="preserve"> (ordered pairs of numbers) to locate point in the plane. Recognize a line of symmetry for two-dimensional figures.</w:t>
            </w:r>
            <w:r w:rsidR="002C5ACC">
              <w:rPr>
                <w:sz w:val="16"/>
                <w:szCs w:val="16"/>
              </w:rPr>
              <w:t xml:space="preserve"> </w:t>
            </w:r>
            <w:r w:rsidRPr="009377C8">
              <w:rPr>
                <w:sz w:val="16"/>
                <w:szCs w:val="16"/>
              </w:rPr>
              <w:t>Draw lines of symmetry in figures.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2C5ACC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2C5ACC">
            <w:pPr>
              <w:rPr>
                <w:color w:val="000000"/>
                <w:sz w:val="16"/>
                <w:szCs w:val="16"/>
              </w:rPr>
            </w:pPr>
            <w:r w:rsidRPr="002C5ACC">
              <w:rPr>
                <w:sz w:val="16"/>
                <w:szCs w:val="16"/>
              </w:rPr>
              <w:lastRenderedPageBreak/>
              <w:t>Compare shapes according to their geometric properties (shape, length</w:t>
            </w:r>
            <w:r>
              <w:rPr>
                <w:sz w:val="16"/>
                <w:szCs w:val="16"/>
              </w:rPr>
              <w:t>, angle</w:t>
            </w:r>
            <w:r w:rsidRPr="002C5ACC">
              <w:rPr>
                <w:sz w:val="16"/>
                <w:szCs w:val="16"/>
              </w:rPr>
              <w:t>).Draw points, lines, line segments, rays, angles (right, acute, obtuse), and perpendicular and parallel lines. Identify these in two-dimensional figures.</w:t>
            </w:r>
            <w:r>
              <w:rPr>
                <w:sz w:val="16"/>
                <w:szCs w:val="16"/>
              </w:rPr>
              <w:t xml:space="preserve"> </w:t>
            </w:r>
            <w:r w:rsidRPr="002C5ACC">
              <w:rPr>
                <w:sz w:val="16"/>
                <w:szCs w:val="16"/>
              </w:rPr>
              <w:t>Classify and measure angles (right,</w:t>
            </w:r>
            <w:r>
              <w:rPr>
                <w:sz w:val="16"/>
                <w:szCs w:val="16"/>
              </w:rPr>
              <w:t xml:space="preserve"> </w:t>
            </w:r>
            <w:r w:rsidRPr="002C5ACC">
              <w:rPr>
                <w:sz w:val="16"/>
                <w:szCs w:val="16"/>
              </w:rPr>
              <w:t>acute, obtuse ....).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2C5ACC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2C5ACC">
            <w:pPr>
              <w:rPr>
                <w:color w:val="000000"/>
                <w:sz w:val="16"/>
                <w:szCs w:val="16"/>
              </w:rPr>
            </w:pPr>
            <w:r w:rsidRPr="002C5ACC">
              <w:rPr>
                <w:sz w:val="16"/>
                <w:szCs w:val="16"/>
              </w:rPr>
              <w:t>Classify different shapes and identify their parts and spatial relationship between the parts (i.e. sides of the rectangle are parallel and perpendicular).Identify letter with parallel lines.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2C5ACC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2C5ACC">
            <w:pPr>
              <w:rPr>
                <w:color w:val="000000"/>
                <w:sz w:val="16"/>
                <w:szCs w:val="16"/>
              </w:rPr>
            </w:pPr>
            <w:r w:rsidRPr="002C5ACC">
              <w:rPr>
                <w:sz w:val="16"/>
                <w:szCs w:val="16"/>
              </w:rPr>
              <w:t>Classify shapes by number of vertices or edges. Name shapes such as: triangles, rectangles, pentagons and hexagons. Describe position of an object in the space using grid.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2C5ACC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0340A4" w:rsidRPr="000340A4" w:rsidRDefault="002C5ACC">
            <w:pPr>
              <w:rPr>
                <w:color w:val="000000"/>
                <w:sz w:val="16"/>
                <w:szCs w:val="16"/>
              </w:rPr>
            </w:pPr>
            <w:r w:rsidRPr="002C5ACC">
              <w:rPr>
                <w:sz w:val="16"/>
                <w:szCs w:val="16"/>
              </w:rPr>
              <w:t xml:space="preserve">Name basic shapes. Distinguish between defining properties (e.g., triangles are closed and three-sided) versus non-defining   properties (e.g.  </w:t>
            </w:r>
            <w:proofErr w:type="gramStart"/>
            <w:r>
              <w:rPr>
                <w:sz w:val="16"/>
                <w:szCs w:val="16"/>
              </w:rPr>
              <w:t>c</w:t>
            </w:r>
            <w:r w:rsidRPr="002C5ACC">
              <w:rPr>
                <w:sz w:val="16"/>
                <w:szCs w:val="16"/>
              </w:rPr>
              <w:t>olo</w:t>
            </w:r>
            <w:bookmarkStart w:id="0" w:name="_GoBack"/>
            <w:bookmarkEnd w:id="0"/>
            <w:r w:rsidRPr="002C5ACC">
              <w:rPr>
                <w:sz w:val="16"/>
                <w:szCs w:val="16"/>
              </w:rPr>
              <w:t>ur</w:t>
            </w:r>
            <w:proofErr w:type="gramEnd"/>
            <w:r w:rsidRPr="002C5ACC">
              <w:rPr>
                <w:sz w:val="16"/>
                <w:szCs w:val="16"/>
              </w:rPr>
              <w:t>, size, orientation ). Draw shapes such as triangles and rectangles.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</w:tbl>
    <w:p w:rsidR="00C50F3E" w:rsidRDefault="00C50F3E" w:rsidP="00C50F3E">
      <w:pPr>
        <w:rPr>
          <w:b/>
          <w:i/>
          <w:sz w:val="24"/>
          <w:szCs w:val="24"/>
        </w:rPr>
      </w:pPr>
    </w:p>
    <w:p w:rsidR="00334DA0" w:rsidRDefault="00334DA0" w:rsidP="00C50F3E">
      <w:pPr>
        <w:rPr>
          <w:b/>
          <w:i/>
          <w:sz w:val="24"/>
          <w:szCs w:val="24"/>
        </w:rPr>
      </w:pPr>
    </w:p>
    <w:sectPr w:rsidR="00334DA0" w:rsidSect="00C50F3E">
      <w:pgSz w:w="23814" w:h="16839" w:orient="landscape" w:code="8"/>
      <w:pgMar w:top="720" w:right="720" w:bottom="720" w:left="720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C8" w:rsidRDefault="009377C8" w:rsidP="00C50F3E">
      <w:pPr>
        <w:spacing w:after="0" w:line="240" w:lineRule="auto"/>
      </w:pPr>
      <w:r>
        <w:separator/>
      </w:r>
    </w:p>
  </w:endnote>
  <w:endnote w:type="continuationSeparator" w:id="0">
    <w:p w:rsidR="009377C8" w:rsidRDefault="009377C8" w:rsidP="00C5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C8" w:rsidRDefault="009377C8" w:rsidP="00C50F3E">
      <w:pPr>
        <w:spacing w:after="0" w:line="240" w:lineRule="auto"/>
      </w:pPr>
      <w:r>
        <w:separator/>
      </w:r>
    </w:p>
  </w:footnote>
  <w:footnote w:type="continuationSeparator" w:id="0">
    <w:p w:rsidR="009377C8" w:rsidRDefault="009377C8" w:rsidP="00C50F3E">
      <w:pPr>
        <w:spacing w:after="0" w:line="240" w:lineRule="auto"/>
      </w:pPr>
      <w:r>
        <w:continuationSeparator/>
      </w:r>
    </w:p>
  </w:footnote>
  <w:footnote w:id="1">
    <w:p w:rsidR="00463ECC" w:rsidRPr="00463ECC" w:rsidRDefault="00463ECC" w:rsidP="00463ECC">
      <w:pPr>
        <w:rPr>
          <w:b/>
          <w:i/>
          <w:sz w:val="24"/>
          <w:szCs w:val="24"/>
        </w:rPr>
      </w:pPr>
      <w:r>
        <w:rPr>
          <w:rStyle w:val="FootnoteReference"/>
        </w:rPr>
        <w:footnoteRef/>
      </w:r>
      <w:r>
        <w:t xml:space="preserve"> Based on the work of Charles R. Beck, (1998), ‘A taxonomy for identifying, classifying, and interrelating teaching strategies’, Vol. 47, No. 1 , </w:t>
      </w:r>
      <w:r w:rsidRPr="00457145">
        <w:rPr>
          <w:i/>
        </w:rPr>
        <w:t>The Journal of General Education</w:t>
      </w:r>
      <w:r>
        <w:t>, pp. 37-62, 37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F9B"/>
    <w:multiLevelType w:val="hybridMultilevel"/>
    <w:tmpl w:val="64940C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075C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6B2FA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872F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D02585"/>
    <w:multiLevelType w:val="hybridMultilevel"/>
    <w:tmpl w:val="776271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9E5448"/>
    <w:multiLevelType w:val="hybridMultilevel"/>
    <w:tmpl w:val="3CEA4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97AF2"/>
    <w:multiLevelType w:val="hybridMultilevel"/>
    <w:tmpl w:val="CFD842AE"/>
    <w:lvl w:ilvl="0" w:tplc="66261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F706B8"/>
    <w:multiLevelType w:val="hybridMultilevel"/>
    <w:tmpl w:val="D5001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14B4F"/>
    <w:multiLevelType w:val="hybridMultilevel"/>
    <w:tmpl w:val="74CC55BA"/>
    <w:lvl w:ilvl="0" w:tplc="586EE3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AB77D3"/>
    <w:multiLevelType w:val="hybridMultilevel"/>
    <w:tmpl w:val="81761C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3E"/>
    <w:rsid w:val="000340A4"/>
    <w:rsid w:val="000E66FF"/>
    <w:rsid w:val="001D4A2C"/>
    <w:rsid w:val="002264F7"/>
    <w:rsid w:val="002C5ACC"/>
    <w:rsid w:val="00334DA0"/>
    <w:rsid w:val="003466AD"/>
    <w:rsid w:val="003C3450"/>
    <w:rsid w:val="003F358E"/>
    <w:rsid w:val="00463ECC"/>
    <w:rsid w:val="0048196B"/>
    <w:rsid w:val="004D529A"/>
    <w:rsid w:val="005E4618"/>
    <w:rsid w:val="006B3B85"/>
    <w:rsid w:val="009377C8"/>
    <w:rsid w:val="00994B31"/>
    <w:rsid w:val="00AF6ABC"/>
    <w:rsid w:val="00B6312B"/>
    <w:rsid w:val="00BE77AE"/>
    <w:rsid w:val="00C50F3E"/>
    <w:rsid w:val="00F60641"/>
    <w:rsid w:val="00FA07F2"/>
    <w:rsid w:val="00FB133A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3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3E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C50F3E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0F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E"/>
  </w:style>
  <w:style w:type="paragraph" w:styleId="Footer">
    <w:name w:val="footer"/>
    <w:basedOn w:val="Normal"/>
    <w:link w:val="Foot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E"/>
  </w:style>
  <w:style w:type="table" w:styleId="TableGrid">
    <w:name w:val="Table Grid"/>
    <w:basedOn w:val="TableNormal"/>
    <w:uiPriority w:val="59"/>
    <w:rsid w:val="0033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63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ECC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3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3E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C50F3E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0F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E"/>
  </w:style>
  <w:style w:type="paragraph" w:styleId="Footer">
    <w:name w:val="footer"/>
    <w:basedOn w:val="Normal"/>
    <w:link w:val="Foot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E"/>
  </w:style>
  <w:style w:type="table" w:styleId="TableGrid">
    <w:name w:val="Table Grid"/>
    <w:basedOn w:val="TableNormal"/>
    <w:uiPriority w:val="59"/>
    <w:rsid w:val="0033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63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E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D3F42-25F6-4BEC-8827-B7E7AE74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</dc:creator>
  <cp:lastModifiedBy>Hilary Slater</cp:lastModifiedBy>
  <cp:revision>2</cp:revision>
  <dcterms:created xsi:type="dcterms:W3CDTF">2013-07-09T04:22:00Z</dcterms:created>
  <dcterms:modified xsi:type="dcterms:W3CDTF">2013-07-09T04:22:00Z</dcterms:modified>
</cp:coreProperties>
</file>