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13E4" w14:textId="1098C77A" w:rsidR="008A4013" w:rsidRDefault="008A4013" w:rsidP="008A4013">
      <w:pPr>
        <w:pStyle w:val="a3"/>
        <w:spacing w:before="75" w:beforeAutospacing="0" w:after="150" w:afterAutospacing="0"/>
        <w:ind w:firstLine="480"/>
        <w:rPr>
          <w:rFonts w:ascii="Verdana" w:hAnsi="Verdana"/>
          <w:color w:val="111111"/>
          <w:sz w:val="20"/>
          <w:szCs w:val="20"/>
        </w:rPr>
      </w:pPr>
      <w:r>
        <w:rPr>
          <w:rStyle w:val="a4"/>
          <w:rFonts w:ascii="Verdana" w:hAnsi="Verdana"/>
          <w:color w:val="111111"/>
          <w:sz w:val="20"/>
          <w:szCs w:val="20"/>
        </w:rPr>
        <w:t>IEC 62368-1</w:t>
      </w:r>
      <w:r>
        <w:rPr>
          <w:rStyle w:val="a4"/>
          <w:rFonts w:ascii="Verdana" w:hAnsi="Verdana"/>
          <w:color w:val="111111"/>
          <w:sz w:val="20"/>
          <w:szCs w:val="20"/>
        </w:rPr>
        <w:t>-2018</w:t>
      </w:r>
      <w:r>
        <w:rPr>
          <w:rStyle w:val="a4"/>
          <w:rFonts w:ascii="Verdana" w:hAnsi="Verdana"/>
          <w:color w:val="111111"/>
          <w:sz w:val="20"/>
          <w:szCs w:val="20"/>
        </w:rPr>
        <w:t> </w:t>
      </w:r>
      <w:r>
        <w:rPr>
          <w:rStyle w:val="a4"/>
          <w:rFonts w:ascii="Verdana" w:hAnsi="Verdana"/>
          <w:color w:val="111111"/>
          <w:sz w:val="20"/>
          <w:szCs w:val="20"/>
        </w:rPr>
        <w:t>对产品的外壳要求：</w:t>
      </w:r>
    </w:p>
    <w:p w14:paraId="2058CE99" w14:textId="77777777" w:rsidR="008A4013" w:rsidRDefault="008A4013" w:rsidP="008A4013">
      <w:pPr>
        <w:pStyle w:val="a3"/>
        <w:spacing w:before="75" w:beforeAutospacing="0" w:after="150" w:afterAutospacing="0"/>
        <w:ind w:firstLine="480"/>
        <w:rPr>
          <w:rFonts w:ascii="Verdana" w:hAnsi="Verdana"/>
          <w:color w:val="111111"/>
          <w:sz w:val="20"/>
          <w:szCs w:val="20"/>
        </w:rPr>
      </w:pPr>
      <w:r>
        <w:rPr>
          <w:rFonts w:ascii="Verdana" w:hAnsi="Verdana"/>
          <w:color w:val="111111"/>
          <w:sz w:val="20"/>
          <w:szCs w:val="20"/>
        </w:rPr>
        <w:t>电气引起的着火主要有两个方面，功率源</w:t>
      </w:r>
      <w:r>
        <w:rPr>
          <w:rFonts w:ascii="Verdana" w:hAnsi="Verdana"/>
          <w:color w:val="111111"/>
          <w:sz w:val="20"/>
          <w:szCs w:val="20"/>
        </w:rPr>
        <w:t>PS</w:t>
      </w:r>
      <w:r>
        <w:rPr>
          <w:rFonts w:ascii="Verdana" w:hAnsi="Verdana"/>
          <w:color w:val="111111"/>
          <w:sz w:val="20"/>
          <w:szCs w:val="20"/>
        </w:rPr>
        <w:t>和潜在引燃源</w:t>
      </w:r>
      <w:r>
        <w:rPr>
          <w:rFonts w:ascii="Verdana" w:hAnsi="Verdana"/>
          <w:color w:val="111111"/>
          <w:sz w:val="20"/>
          <w:szCs w:val="20"/>
        </w:rPr>
        <w:t>PIS</w:t>
      </w:r>
    </w:p>
    <w:p w14:paraId="09FA82FA" w14:textId="77777777" w:rsidR="008A4013" w:rsidRDefault="008A4013" w:rsidP="008A4013">
      <w:pPr>
        <w:pStyle w:val="a3"/>
        <w:spacing w:before="75" w:beforeAutospacing="0" w:after="150" w:afterAutospacing="0"/>
        <w:ind w:firstLine="480"/>
        <w:rPr>
          <w:rFonts w:ascii="Verdana" w:hAnsi="Verdana"/>
          <w:color w:val="111111"/>
          <w:sz w:val="20"/>
          <w:szCs w:val="20"/>
        </w:rPr>
      </w:pPr>
      <w:r>
        <w:rPr>
          <w:rFonts w:ascii="Verdana" w:hAnsi="Verdana"/>
          <w:color w:val="111111"/>
          <w:sz w:val="20"/>
          <w:szCs w:val="20"/>
        </w:rPr>
        <w:t>引起发热的</w:t>
      </w:r>
      <w:proofErr w:type="gramStart"/>
      <w:r>
        <w:rPr>
          <w:rFonts w:ascii="Verdana" w:hAnsi="Verdana"/>
          <w:color w:val="111111"/>
          <w:sz w:val="20"/>
          <w:szCs w:val="20"/>
        </w:rPr>
        <w:t>电能量源可以</w:t>
      </w:r>
      <w:proofErr w:type="gramEnd"/>
      <w:r>
        <w:rPr>
          <w:rFonts w:ascii="Verdana" w:hAnsi="Verdana"/>
          <w:color w:val="111111"/>
          <w:sz w:val="20"/>
          <w:szCs w:val="20"/>
        </w:rPr>
        <w:t>划分为功率等级</w:t>
      </w:r>
      <w:r>
        <w:rPr>
          <w:rFonts w:ascii="Verdana" w:hAnsi="Verdana"/>
          <w:color w:val="111111"/>
          <w:sz w:val="20"/>
          <w:szCs w:val="20"/>
        </w:rPr>
        <w:t>PS1,PS2,PS3.</w:t>
      </w:r>
    </w:p>
    <w:p w14:paraId="6A7F578E" w14:textId="77777777" w:rsidR="008A4013" w:rsidRDefault="008A4013" w:rsidP="008A4013">
      <w:pPr>
        <w:pStyle w:val="a3"/>
        <w:spacing w:before="75" w:beforeAutospacing="0" w:after="150" w:afterAutospacing="0"/>
        <w:ind w:firstLine="480"/>
        <w:rPr>
          <w:rFonts w:ascii="Verdana" w:hAnsi="Verdana"/>
          <w:color w:val="111111"/>
          <w:sz w:val="20"/>
          <w:szCs w:val="20"/>
        </w:rPr>
      </w:pPr>
      <w:r>
        <w:rPr>
          <w:rFonts w:ascii="Verdana" w:hAnsi="Verdana"/>
          <w:color w:val="111111"/>
          <w:sz w:val="20"/>
          <w:szCs w:val="20"/>
        </w:rPr>
        <w:t>在功率源内，</w:t>
      </w:r>
      <w:r>
        <w:rPr>
          <w:rFonts w:ascii="Verdana" w:hAnsi="Verdana"/>
          <w:color w:val="111111"/>
          <w:sz w:val="20"/>
          <w:szCs w:val="20"/>
        </w:rPr>
        <w:t>PIS</w:t>
      </w:r>
      <w:r>
        <w:rPr>
          <w:rFonts w:ascii="Verdana" w:hAnsi="Verdana"/>
          <w:color w:val="111111"/>
          <w:sz w:val="20"/>
          <w:szCs w:val="20"/>
        </w:rPr>
        <w:t>可能由断开连接点或打开触点时的电弧而引起（电弧性</w:t>
      </w:r>
      <w:r>
        <w:rPr>
          <w:rFonts w:ascii="Verdana" w:hAnsi="Verdana"/>
          <w:color w:val="111111"/>
          <w:sz w:val="20"/>
          <w:szCs w:val="20"/>
        </w:rPr>
        <w:t>PIS</w:t>
      </w:r>
      <w:r>
        <w:rPr>
          <w:rFonts w:ascii="Verdana" w:hAnsi="Verdana"/>
          <w:color w:val="111111"/>
          <w:sz w:val="20"/>
          <w:szCs w:val="20"/>
        </w:rPr>
        <w:t>），或是由耗散功率大于</w:t>
      </w:r>
      <w:r>
        <w:rPr>
          <w:rFonts w:ascii="Verdana" w:hAnsi="Verdana"/>
          <w:color w:val="111111"/>
          <w:sz w:val="20"/>
          <w:szCs w:val="20"/>
        </w:rPr>
        <w:t>15W</w:t>
      </w:r>
      <w:r>
        <w:rPr>
          <w:rFonts w:ascii="Verdana" w:hAnsi="Verdana"/>
          <w:color w:val="111111"/>
          <w:sz w:val="20"/>
          <w:szCs w:val="20"/>
        </w:rPr>
        <w:t>的元器件而引起（电阻性</w:t>
      </w:r>
      <w:r>
        <w:rPr>
          <w:rFonts w:ascii="Verdana" w:hAnsi="Verdana"/>
          <w:color w:val="111111"/>
          <w:sz w:val="20"/>
          <w:szCs w:val="20"/>
        </w:rPr>
        <w:t>PIS</w:t>
      </w:r>
      <w:r>
        <w:rPr>
          <w:rFonts w:ascii="Verdana" w:hAnsi="Verdana"/>
          <w:color w:val="111111"/>
          <w:sz w:val="20"/>
          <w:szCs w:val="20"/>
        </w:rPr>
        <w:t>）。</w:t>
      </w:r>
    </w:p>
    <w:p w14:paraId="324EDF45" w14:textId="77777777" w:rsidR="008A4013" w:rsidRDefault="008A4013" w:rsidP="008A4013">
      <w:pPr>
        <w:pStyle w:val="a3"/>
        <w:spacing w:before="75" w:beforeAutospacing="0" w:after="150" w:afterAutospacing="0"/>
        <w:ind w:firstLine="480"/>
        <w:rPr>
          <w:rFonts w:ascii="Verdana" w:hAnsi="Verdana"/>
          <w:color w:val="111111"/>
          <w:sz w:val="20"/>
          <w:szCs w:val="20"/>
        </w:rPr>
      </w:pPr>
      <w:r>
        <w:rPr>
          <w:rStyle w:val="a4"/>
          <w:rFonts w:ascii="Verdana" w:hAnsi="Verdana"/>
          <w:color w:val="111111"/>
          <w:sz w:val="20"/>
          <w:szCs w:val="20"/>
        </w:rPr>
        <w:t>依据功率源</w:t>
      </w:r>
      <w:r>
        <w:rPr>
          <w:rStyle w:val="a4"/>
          <w:rFonts w:ascii="Verdana" w:hAnsi="Verdana"/>
          <w:color w:val="111111"/>
          <w:sz w:val="20"/>
          <w:szCs w:val="20"/>
        </w:rPr>
        <w:t>PS</w:t>
      </w:r>
      <w:r>
        <w:rPr>
          <w:rStyle w:val="a4"/>
          <w:rFonts w:ascii="Verdana" w:hAnsi="Verdana"/>
          <w:color w:val="111111"/>
          <w:sz w:val="20"/>
          <w:szCs w:val="20"/>
        </w:rPr>
        <w:t>分类等级要求</w:t>
      </w:r>
      <w:r>
        <w:rPr>
          <w:rFonts w:ascii="Verdana" w:hAnsi="Verdana"/>
          <w:color w:val="111111"/>
          <w:sz w:val="20"/>
          <w:szCs w:val="20"/>
        </w:rPr>
        <w:t>，如图</w:t>
      </w:r>
      <w:r>
        <w:rPr>
          <w:rFonts w:ascii="Verdana" w:hAnsi="Verdana"/>
          <w:color w:val="111111"/>
          <w:sz w:val="20"/>
          <w:szCs w:val="20"/>
        </w:rPr>
        <w:t>36</w:t>
      </w:r>
      <w:r>
        <w:rPr>
          <w:rFonts w:ascii="Verdana" w:hAnsi="Verdana"/>
          <w:color w:val="111111"/>
          <w:sz w:val="20"/>
          <w:szCs w:val="20"/>
        </w:rPr>
        <w:t>功率源分级示意图</w:t>
      </w:r>
    </w:p>
    <w:p w14:paraId="7AFC4E9C" w14:textId="1A56BD7E" w:rsidR="008A4013" w:rsidRDefault="008A4013" w:rsidP="008A4013">
      <w:pPr>
        <w:pStyle w:val="a3"/>
        <w:spacing w:before="0" w:beforeAutospacing="0" w:after="0" w:afterAutospacing="0"/>
        <w:ind w:firstLine="480"/>
        <w:rPr>
          <w:rFonts w:ascii="Verdana" w:hAnsi="Verdana"/>
          <w:color w:val="111111"/>
          <w:sz w:val="20"/>
          <w:szCs w:val="20"/>
        </w:rPr>
      </w:pPr>
      <w:r>
        <w:rPr>
          <w:noProof/>
        </w:rPr>
        <w:drawing>
          <wp:inline distT="0" distB="0" distL="0" distR="0" wp14:anchorId="0CB05974" wp14:editId="4C59A88A">
            <wp:extent cx="4337988" cy="303022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605" cy="3041129"/>
                    </a:xfrm>
                    <a:prstGeom prst="rect">
                      <a:avLst/>
                    </a:prstGeom>
                  </pic:spPr>
                </pic:pic>
              </a:graphicData>
            </a:graphic>
          </wp:inline>
        </w:drawing>
      </w:r>
      <w:r>
        <w:rPr>
          <w:rFonts w:ascii="Arial" w:hAnsi="Arial" w:cs="Arial"/>
          <w:color w:val="111111"/>
          <w:sz w:val="21"/>
          <w:szCs w:val="21"/>
        </w:rPr>
        <w:t> </w:t>
      </w:r>
    </w:p>
    <w:p w14:paraId="3C60C004" w14:textId="76581D8B" w:rsidR="008A4013" w:rsidRDefault="008A4013" w:rsidP="008A4013">
      <w:pPr>
        <w:pStyle w:val="a3"/>
        <w:spacing w:before="0" w:beforeAutospacing="0" w:after="0" w:afterAutospacing="0"/>
        <w:jc w:val="center"/>
        <w:rPr>
          <w:rFonts w:ascii="Verdana" w:hAnsi="Verdana"/>
          <w:color w:val="111111"/>
          <w:sz w:val="20"/>
          <w:szCs w:val="20"/>
        </w:rPr>
      </w:pPr>
      <w:r>
        <w:rPr>
          <w:noProof/>
        </w:rPr>
        <w:drawing>
          <wp:inline distT="0" distB="0" distL="0" distR="0" wp14:anchorId="787BC617" wp14:editId="78A8948F">
            <wp:extent cx="5274310" cy="37579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57930"/>
                    </a:xfrm>
                    <a:prstGeom prst="rect">
                      <a:avLst/>
                    </a:prstGeom>
                  </pic:spPr>
                </pic:pic>
              </a:graphicData>
            </a:graphic>
          </wp:inline>
        </w:drawing>
      </w:r>
      <w:r>
        <w:rPr>
          <w:rFonts w:ascii="Arial" w:hAnsi="Arial" w:cs="Arial"/>
          <w:color w:val="111111"/>
          <w:sz w:val="21"/>
          <w:szCs w:val="21"/>
        </w:rPr>
        <w:t> </w:t>
      </w:r>
    </w:p>
    <w:p w14:paraId="66B33158" w14:textId="2C426679"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lastRenderedPageBreak/>
        <w:t>按照图</w:t>
      </w:r>
      <w:r>
        <w:rPr>
          <w:rFonts w:ascii="微软雅黑" w:eastAsia="微软雅黑" w:hAnsi="微软雅黑"/>
          <w:color w:val="111111"/>
          <w:sz w:val="21"/>
          <w:szCs w:val="21"/>
        </w:rPr>
        <w:t>34</w:t>
      </w:r>
      <w:r>
        <w:rPr>
          <w:rFonts w:ascii="微软雅黑" w:eastAsia="微软雅黑" w:hAnsi="微软雅黑" w:hint="eastAsia"/>
          <w:color w:val="111111"/>
          <w:sz w:val="21"/>
          <w:szCs w:val="21"/>
        </w:rPr>
        <w:t>，</w:t>
      </w:r>
      <w:r>
        <w:rPr>
          <w:rStyle w:val="a4"/>
          <w:rFonts w:ascii="微软雅黑" w:eastAsia="微软雅黑" w:hAnsi="微软雅黑" w:hint="eastAsia"/>
          <w:color w:val="111111"/>
          <w:sz w:val="21"/>
          <w:szCs w:val="21"/>
        </w:rPr>
        <w:t>最不利的功率源故障的功率测量</w:t>
      </w:r>
    </w:p>
    <w:p w14:paraId="0378D949" w14:textId="77777777"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PS1: 功率源在3秒后测量值不超过15W的电路；</w:t>
      </w:r>
    </w:p>
    <w:p w14:paraId="4E34709A" w14:textId="77777777"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PS2: </w:t>
      </w:r>
      <w:proofErr w:type="gramStart"/>
      <w:r>
        <w:rPr>
          <w:rFonts w:ascii="微软雅黑" w:eastAsia="微软雅黑" w:hAnsi="微软雅黑" w:hint="eastAsia"/>
          <w:color w:val="111111"/>
          <w:sz w:val="21"/>
          <w:szCs w:val="21"/>
        </w:rPr>
        <w:t>功率源值超过</w:t>
      </w:r>
      <w:proofErr w:type="gramEnd"/>
      <w:r>
        <w:rPr>
          <w:rFonts w:ascii="微软雅黑" w:eastAsia="微软雅黑" w:hAnsi="微软雅黑" w:hint="eastAsia"/>
          <w:color w:val="111111"/>
          <w:sz w:val="21"/>
          <w:szCs w:val="21"/>
        </w:rPr>
        <w:t>PS1限值，和5秒后测量值不超过100W的电路；</w:t>
      </w:r>
    </w:p>
    <w:p w14:paraId="4CD0AECB" w14:textId="77777777"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PS3：</w:t>
      </w:r>
      <w:proofErr w:type="gramStart"/>
      <w:r>
        <w:rPr>
          <w:rFonts w:ascii="微软雅黑" w:eastAsia="微软雅黑" w:hAnsi="微软雅黑" w:hint="eastAsia"/>
          <w:color w:val="111111"/>
          <w:sz w:val="21"/>
          <w:szCs w:val="21"/>
        </w:rPr>
        <w:t>功率源值超过</w:t>
      </w:r>
      <w:proofErr w:type="gramEnd"/>
      <w:r>
        <w:rPr>
          <w:rFonts w:ascii="微软雅黑" w:eastAsia="微软雅黑" w:hAnsi="微软雅黑" w:hint="eastAsia"/>
          <w:color w:val="111111"/>
          <w:sz w:val="21"/>
          <w:szCs w:val="21"/>
        </w:rPr>
        <w:t>PS2限值；</w:t>
      </w:r>
    </w:p>
    <w:p w14:paraId="7CCE7C55" w14:textId="77777777" w:rsidR="008A4013" w:rsidRDefault="008A4013" w:rsidP="008A4013">
      <w:pPr>
        <w:pStyle w:val="a3"/>
        <w:spacing w:before="0" w:beforeAutospacing="0" w:after="0" w:afterAutospacing="0"/>
        <w:rPr>
          <w:rFonts w:ascii="Verdana" w:hAnsi="Verdana"/>
          <w:color w:val="111111"/>
          <w:sz w:val="20"/>
          <w:szCs w:val="20"/>
        </w:rPr>
      </w:pPr>
      <w:r>
        <w:rPr>
          <w:rFonts w:ascii="Arial" w:hAnsi="Arial" w:cs="Arial"/>
          <w:color w:val="111111"/>
          <w:sz w:val="21"/>
          <w:szCs w:val="21"/>
        </w:rPr>
        <w:t> </w:t>
      </w:r>
      <w:r>
        <w:rPr>
          <w:rStyle w:val="a4"/>
          <w:rFonts w:ascii="微软雅黑" w:eastAsia="微软雅黑" w:hAnsi="微软雅黑" w:hint="eastAsia"/>
          <w:color w:val="111111"/>
          <w:sz w:val="21"/>
          <w:szCs w:val="21"/>
        </w:rPr>
        <w:t>依据潜在引燃源PIS分级：</w:t>
      </w:r>
    </w:p>
    <w:p w14:paraId="1884B9E0" w14:textId="77777777"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电弧性PIS具有特点：断开的导体或断开的电气触点间的开路电压（在3秒后测量）超过交流50V（峰值）或直流50V；</w:t>
      </w:r>
    </w:p>
    <w:p w14:paraId="36DB768E" w14:textId="77777777"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电阻性PIS具有特点：是PS2或PS3电路中，在正常工作30秒后测量，耗散功率大于15W；或在单一故障条件下，如果使用电子电路、控制器或PTC元件，在引入故障后立即测量，在30秒内功率超过100W；或在引入故障30秒后测量，可获得功率超过15W。</w:t>
      </w:r>
    </w:p>
    <w:p w14:paraId="1C5FF78F" w14:textId="77777777" w:rsidR="008A4013" w:rsidRDefault="008A4013" w:rsidP="008A4013">
      <w:pPr>
        <w:pStyle w:val="a3"/>
        <w:spacing w:before="0" w:beforeAutospacing="0" w:after="0" w:afterAutospacing="0"/>
        <w:rPr>
          <w:rFonts w:ascii="Verdana" w:hAnsi="Verdana"/>
          <w:color w:val="111111"/>
          <w:sz w:val="20"/>
          <w:szCs w:val="20"/>
        </w:rPr>
      </w:pPr>
      <w:r>
        <w:rPr>
          <w:rFonts w:ascii="Arial" w:hAnsi="Arial" w:cs="Arial"/>
          <w:color w:val="111111"/>
          <w:sz w:val="21"/>
          <w:szCs w:val="21"/>
        </w:rPr>
        <w:t> </w:t>
      </w:r>
      <w:r>
        <w:rPr>
          <w:rFonts w:ascii="微软雅黑" w:eastAsia="微软雅黑" w:hAnsi="微软雅黑" w:hint="eastAsia"/>
          <w:color w:val="111111"/>
          <w:sz w:val="21"/>
          <w:szCs w:val="21"/>
        </w:rPr>
        <w:t>对于PS1 电路，认为</w:t>
      </w:r>
      <w:r>
        <w:rPr>
          <w:rFonts w:ascii="Arial" w:hAnsi="Arial" w:cs="Arial"/>
          <w:color w:val="111111"/>
          <w:sz w:val="21"/>
          <w:szCs w:val="21"/>
        </w:rPr>
        <w:t>PS1</w:t>
      </w:r>
      <w:r>
        <w:rPr>
          <w:rFonts w:ascii="微软雅黑" w:eastAsia="微软雅黑" w:hAnsi="微软雅黑" w:hint="eastAsia"/>
          <w:color w:val="111111"/>
          <w:sz w:val="21"/>
          <w:szCs w:val="21"/>
        </w:rPr>
        <w:t>电路不能提供导致材料达到引燃温度的足够的能量，不存在电弧性</w:t>
      </w:r>
      <w:r>
        <w:rPr>
          <w:rFonts w:ascii="Arial" w:hAnsi="Arial" w:cs="Arial"/>
          <w:color w:val="111111"/>
          <w:sz w:val="21"/>
          <w:szCs w:val="21"/>
        </w:rPr>
        <w:t>PIS</w:t>
      </w:r>
      <w:r>
        <w:rPr>
          <w:rFonts w:ascii="微软雅黑" w:eastAsia="微软雅黑" w:hAnsi="微软雅黑" w:hint="eastAsia"/>
          <w:color w:val="111111"/>
          <w:sz w:val="21"/>
          <w:szCs w:val="21"/>
        </w:rPr>
        <w:t>和电阻性PIS，所以</w:t>
      </w:r>
      <w:r>
        <w:rPr>
          <w:rStyle w:val="a4"/>
          <w:rFonts w:ascii="微软雅黑" w:eastAsia="微软雅黑" w:hAnsi="微软雅黑" w:hint="eastAsia"/>
          <w:color w:val="111111"/>
          <w:sz w:val="21"/>
          <w:szCs w:val="21"/>
        </w:rPr>
        <w:t>不需要附加安全防护</w:t>
      </w:r>
      <w:r>
        <w:rPr>
          <w:rFonts w:ascii="微软雅黑" w:eastAsia="微软雅黑" w:hAnsi="微软雅黑" w:hint="eastAsia"/>
          <w:color w:val="111111"/>
          <w:sz w:val="21"/>
          <w:szCs w:val="21"/>
        </w:rPr>
        <w:t>。</w:t>
      </w:r>
    </w:p>
    <w:p w14:paraId="28A8F7DA" w14:textId="77777777" w:rsidR="008A4013" w:rsidRDefault="008A4013" w:rsidP="008A4013">
      <w:pPr>
        <w:pStyle w:val="a3"/>
        <w:spacing w:before="0" w:beforeAutospacing="0" w:after="0" w:afterAutospacing="0"/>
        <w:rPr>
          <w:rFonts w:ascii="Verdana" w:hAnsi="Verdana"/>
          <w:color w:val="111111"/>
          <w:sz w:val="20"/>
          <w:szCs w:val="20"/>
        </w:rPr>
      </w:pPr>
      <w:r>
        <w:rPr>
          <w:rFonts w:ascii="Arial" w:hAnsi="Arial" w:cs="Arial"/>
          <w:color w:val="111111"/>
          <w:sz w:val="21"/>
          <w:szCs w:val="21"/>
        </w:rPr>
        <w:t> </w:t>
      </w:r>
      <w:r>
        <w:rPr>
          <w:rStyle w:val="a4"/>
          <w:rFonts w:ascii="微软雅黑" w:eastAsia="微软雅黑" w:hAnsi="微软雅黑" w:hint="eastAsia"/>
          <w:color w:val="111111"/>
          <w:sz w:val="21"/>
          <w:szCs w:val="21"/>
        </w:rPr>
        <w:t>控制PS2电路中的火焰蔓延，所需要附加安全防护的要求：</w:t>
      </w:r>
    </w:p>
    <w:p w14:paraId="753923EF" w14:textId="77777777"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1. PS2电路中的所有其他元器件安装在V-1级材料或VTM-1级材料上；</w:t>
      </w:r>
    </w:p>
    <w:p w14:paraId="2C247B71" w14:textId="4D59325E"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2. 如果存在PIS引燃源，为了减小持续火焰燃烧或火焰蔓延的可能性，在</w:t>
      </w:r>
      <w:r>
        <w:rPr>
          <w:rFonts w:ascii="Arial" w:hAnsi="Arial" w:cs="Arial"/>
          <w:color w:val="111111"/>
          <w:sz w:val="21"/>
          <w:szCs w:val="21"/>
        </w:rPr>
        <w:t>PIS</w:t>
      </w:r>
      <w:r>
        <w:rPr>
          <w:rFonts w:ascii="微软雅黑" w:eastAsia="微软雅黑" w:hAnsi="微软雅黑" w:hint="eastAsia"/>
          <w:color w:val="111111"/>
          <w:sz w:val="21"/>
          <w:szCs w:val="21"/>
        </w:rPr>
        <w:t>和可燃性材料之间最低限度的隔离要求可以利用距离隔离或使用防火挡板隔离来实现。如果防火挡板隔离，要求防火挡板距电弧性PIS的最小距离为13 mm，距电阻性PIS的最小距离为5mm；如果小于上述距离，则防火挡板材料阻燃等级为V-</w:t>
      </w:r>
      <w:r w:rsidR="009B3C44">
        <w:rPr>
          <w:rFonts w:ascii="微软雅黑" w:eastAsia="微软雅黑" w:hAnsi="微软雅黑"/>
          <w:color w:val="111111"/>
          <w:sz w:val="21"/>
          <w:szCs w:val="21"/>
        </w:rPr>
        <w:t>1</w:t>
      </w:r>
      <w:r>
        <w:rPr>
          <w:rFonts w:ascii="微软雅黑" w:eastAsia="微软雅黑" w:hAnsi="微软雅黑" w:hint="eastAsia"/>
          <w:color w:val="111111"/>
          <w:sz w:val="21"/>
          <w:szCs w:val="21"/>
        </w:rPr>
        <w:t>，或者使用防火防护外壳材料等级为V-</w:t>
      </w:r>
      <w:r w:rsidR="009B3C44">
        <w:rPr>
          <w:rFonts w:ascii="微软雅黑" w:eastAsia="微软雅黑" w:hAnsi="微软雅黑"/>
          <w:color w:val="111111"/>
          <w:sz w:val="21"/>
          <w:szCs w:val="21"/>
        </w:rPr>
        <w:t>1</w:t>
      </w:r>
      <w:r>
        <w:rPr>
          <w:rFonts w:ascii="微软雅黑" w:eastAsia="微软雅黑" w:hAnsi="微软雅黑" w:hint="eastAsia"/>
          <w:color w:val="111111"/>
          <w:sz w:val="21"/>
          <w:szCs w:val="21"/>
        </w:rPr>
        <w:t>作为安全防护。</w:t>
      </w:r>
    </w:p>
    <w:p w14:paraId="0EA05C05" w14:textId="77777777" w:rsidR="008A4013" w:rsidRDefault="008A4013" w:rsidP="008A4013">
      <w:pPr>
        <w:pStyle w:val="a3"/>
        <w:spacing w:before="0" w:beforeAutospacing="0" w:after="0" w:afterAutospacing="0"/>
        <w:rPr>
          <w:rFonts w:ascii="Verdana" w:hAnsi="Verdana"/>
          <w:color w:val="111111"/>
          <w:sz w:val="20"/>
          <w:szCs w:val="20"/>
        </w:rPr>
      </w:pPr>
      <w:r>
        <w:rPr>
          <w:rFonts w:ascii="Arial" w:hAnsi="Arial" w:cs="Arial"/>
          <w:color w:val="111111"/>
          <w:sz w:val="21"/>
          <w:szCs w:val="21"/>
        </w:rPr>
        <w:t>  </w:t>
      </w:r>
      <w:r>
        <w:rPr>
          <w:rStyle w:val="a4"/>
          <w:rFonts w:ascii="微软雅黑" w:eastAsia="微软雅黑" w:hAnsi="微软雅黑" w:hint="eastAsia"/>
          <w:color w:val="111111"/>
          <w:sz w:val="21"/>
          <w:szCs w:val="21"/>
        </w:rPr>
        <w:t>控制PS3电路中的火焰蔓延，所需要附加安全防护的要求：</w:t>
      </w:r>
    </w:p>
    <w:p w14:paraId="38F6E79C" w14:textId="77777777"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1. PS3电路中的所有其他元器件安装在V-1级材料或VTM-1级材料上；</w:t>
      </w:r>
    </w:p>
    <w:p w14:paraId="7320238F" w14:textId="1E1038F1"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lastRenderedPageBreak/>
        <w:t>2. 要求外壳距电弧性PIS的最小距离为13 mm，距电阻性PIS的最小距离为5mm，否则外壳材料等级要求达到V-</w:t>
      </w:r>
      <w:r>
        <w:rPr>
          <w:rFonts w:ascii="微软雅黑" w:eastAsia="微软雅黑" w:hAnsi="微软雅黑"/>
          <w:color w:val="111111"/>
          <w:sz w:val="21"/>
          <w:szCs w:val="21"/>
        </w:rPr>
        <w:t>1</w:t>
      </w:r>
      <w:r>
        <w:rPr>
          <w:rFonts w:ascii="微软雅黑" w:eastAsia="微软雅黑" w:hAnsi="微软雅黑" w:hint="eastAsia"/>
          <w:color w:val="111111"/>
          <w:sz w:val="21"/>
          <w:szCs w:val="21"/>
        </w:rPr>
        <w:t>。</w:t>
      </w:r>
    </w:p>
    <w:p w14:paraId="330127A0" w14:textId="77777777" w:rsidR="008A4013" w:rsidRDefault="008A4013" w:rsidP="008A4013">
      <w:pPr>
        <w:pStyle w:val="a3"/>
        <w:spacing w:before="0" w:beforeAutospacing="0" w:after="0" w:afterAutospacing="0"/>
        <w:rPr>
          <w:rFonts w:ascii="Verdana" w:hAnsi="Verdana"/>
          <w:color w:val="111111"/>
          <w:sz w:val="20"/>
          <w:szCs w:val="20"/>
        </w:rPr>
      </w:pPr>
      <w:r>
        <w:rPr>
          <w:rFonts w:ascii="微软雅黑" w:eastAsia="微软雅黑" w:hAnsi="微软雅黑" w:hint="eastAsia"/>
          <w:color w:val="111111"/>
          <w:sz w:val="21"/>
          <w:szCs w:val="21"/>
        </w:rPr>
        <w:t>3. 对电弧性PIS或电阻性PIS采取隔离要求同PS2一致。</w:t>
      </w:r>
    </w:p>
    <w:p w14:paraId="4E59F692" w14:textId="77777777" w:rsidR="008A4013" w:rsidRDefault="008A4013" w:rsidP="008A4013">
      <w:pPr>
        <w:pStyle w:val="a3"/>
        <w:spacing w:before="0" w:beforeAutospacing="0" w:after="0" w:afterAutospacing="0"/>
        <w:rPr>
          <w:rFonts w:ascii="Verdana" w:hAnsi="Verdana"/>
          <w:color w:val="111111"/>
          <w:sz w:val="20"/>
          <w:szCs w:val="20"/>
        </w:rPr>
      </w:pPr>
      <w:r>
        <w:rPr>
          <w:rFonts w:ascii="Arial" w:hAnsi="Arial" w:cs="Arial"/>
          <w:color w:val="111111"/>
          <w:sz w:val="21"/>
          <w:szCs w:val="21"/>
          <w:shd w:val="clear" w:color="auto" w:fill="FFFF00"/>
        </w:rPr>
        <w:t> </w:t>
      </w:r>
      <w:r>
        <w:rPr>
          <w:rFonts w:ascii="微软雅黑" w:eastAsia="微软雅黑" w:hAnsi="微软雅黑" w:hint="eastAsia"/>
          <w:color w:val="111111"/>
          <w:sz w:val="21"/>
          <w:szCs w:val="21"/>
        </w:rPr>
        <w:t>针对含有二次</w:t>
      </w:r>
      <w:proofErr w:type="gramStart"/>
      <w:r>
        <w:rPr>
          <w:rFonts w:ascii="微软雅黑" w:eastAsia="微软雅黑" w:hAnsi="微软雅黑" w:hint="eastAsia"/>
          <w:color w:val="111111"/>
          <w:sz w:val="21"/>
          <w:szCs w:val="21"/>
        </w:rPr>
        <w:t>锂</w:t>
      </w:r>
      <w:proofErr w:type="gramEnd"/>
      <w:r>
        <w:rPr>
          <w:rFonts w:ascii="微软雅黑" w:eastAsia="微软雅黑" w:hAnsi="微软雅黑" w:hint="eastAsia"/>
          <w:color w:val="111111"/>
          <w:sz w:val="21"/>
          <w:szCs w:val="21"/>
        </w:rPr>
        <w:t>离子电池的产品，除非电池组满足PS1电路限值或设备符合</w:t>
      </w:r>
      <w:r>
        <w:rPr>
          <w:rFonts w:ascii="Arial" w:hAnsi="Arial" w:cs="Arial"/>
          <w:color w:val="111111"/>
          <w:sz w:val="21"/>
          <w:szCs w:val="21"/>
        </w:rPr>
        <w:t>PS2</w:t>
      </w:r>
      <w:r>
        <w:rPr>
          <w:rFonts w:ascii="微软雅黑" w:eastAsia="微软雅黑" w:hAnsi="微软雅黑" w:hint="eastAsia"/>
          <w:color w:val="111111"/>
          <w:sz w:val="21"/>
          <w:szCs w:val="21"/>
        </w:rPr>
        <w:t>电路的附件安全防护要求，带二次锂电池组的产品也需具有防火防护外壳，该防火防护外壳可以是二次锂电池组本身的或是包含二次锂电池组的设备的外壳。</w:t>
      </w:r>
    </w:p>
    <w:p w14:paraId="575BD37C" w14:textId="77777777" w:rsidR="00184AE4" w:rsidRPr="008A4013" w:rsidRDefault="00D4313A"/>
    <w:sectPr w:rsidR="00184AE4" w:rsidRPr="008A4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21A98" w14:textId="77777777" w:rsidR="00D4313A" w:rsidRDefault="00D4313A" w:rsidP="003B59E3">
      <w:r>
        <w:separator/>
      </w:r>
    </w:p>
  </w:endnote>
  <w:endnote w:type="continuationSeparator" w:id="0">
    <w:p w14:paraId="325944AF" w14:textId="77777777" w:rsidR="00D4313A" w:rsidRDefault="00D4313A" w:rsidP="003B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D722" w14:textId="77777777" w:rsidR="00D4313A" w:rsidRDefault="00D4313A" w:rsidP="003B59E3">
      <w:r>
        <w:separator/>
      </w:r>
    </w:p>
  </w:footnote>
  <w:footnote w:type="continuationSeparator" w:id="0">
    <w:p w14:paraId="7FC993AB" w14:textId="77777777" w:rsidR="00D4313A" w:rsidRDefault="00D4313A" w:rsidP="003B5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13"/>
    <w:rsid w:val="003B59E3"/>
    <w:rsid w:val="005200AC"/>
    <w:rsid w:val="008A4013"/>
    <w:rsid w:val="009B3C44"/>
    <w:rsid w:val="00D4313A"/>
    <w:rsid w:val="00DD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68CF9"/>
  <w15:chartTrackingRefBased/>
  <w15:docId w15:val="{A8E22062-6047-4DAD-82B4-3ADCC542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40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4013"/>
    <w:rPr>
      <w:b/>
      <w:bCs/>
    </w:rPr>
  </w:style>
  <w:style w:type="paragraph" w:styleId="a5">
    <w:name w:val="header"/>
    <w:basedOn w:val="a"/>
    <w:link w:val="a6"/>
    <w:uiPriority w:val="99"/>
    <w:unhideWhenUsed/>
    <w:rsid w:val="003B59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59E3"/>
    <w:rPr>
      <w:sz w:val="18"/>
      <w:szCs w:val="18"/>
    </w:rPr>
  </w:style>
  <w:style w:type="paragraph" w:styleId="a7">
    <w:name w:val="footer"/>
    <w:basedOn w:val="a"/>
    <w:link w:val="a8"/>
    <w:uiPriority w:val="99"/>
    <w:unhideWhenUsed/>
    <w:rsid w:val="003B59E3"/>
    <w:pPr>
      <w:tabs>
        <w:tab w:val="center" w:pos="4153"/>
        <w:tab w:val="right" w:pos="8306"/>
      </w:tabs>
      <w:snapToGrid w:val="0"/>
      <w:jc w:val="left"/>
    </w:pPr>
    <w:rPr>
      <w:sz w:val="18"/>
      <w:szCs w:val="18"/>
    </w:rPr>
  </w:style>
  <w:style w:type="character" w:customStyle="1" w:styleId="a8">
    <w:name w:val="页脚 字符"/>
    <w:basedOn w:val="a0"/>
    <w:link w:val="a7"/>
    <w:uiPriority w:val="99"/>
    <w:rsid w:val="003B59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WANG</dc:creator>
  <cp:keywords/>
  <dc:description/>
  <cp:lastModifiedBy>NICK WANG</cp:lastModifiedBy>
  <cp:revision>4</cp:revision>
  <dcterms:created xsi:type="dcterms:W3CDTF">2021-04-16T01:28:00Z</dcterms:created>
  <dcterms:modified xsi:type="dcterms:W3CDTF">2021-04-16T01:38:00Z</dcterms:modified>
</cp:coreProperties>
</file>