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МИНИСТЕРСТВО НАУКИ И ВЫСШЕГО ОБРАЗОВАНИЯ РОССИЙСКОЙ ФЕДЕРАЦИИ</w:t>
      </w:r>
    </w:p>
    <w:p>
      <w:pPr>
        <w:jc w:val="center"/>
      </w:pPr>
      <w:r>
        <w:rPr>
          <w:rFonts w:ascii="Times New Roman" w:hAnsi="Times New Roman" w:eastAsia="Times New Roman"/>
          <w:sz w:val="24"/>
        </w:rPr>
        <w:t>Федеральное государственное бюджетное образовательное учреждение</w:t>
        <w:br/>
        <w:t>высшего образования</w:t>
      </w:r>
    </w:p>
    <w:p>
      <w:pPr>
        <w:jc w:val="center"/>
      </w:pPr>
      <w:r>
        <w:rPr>
          <w:rFonts w:ascii="Times New Roman" w:hAnsi="Times New Roman" w:eastAsia="Times New Roman"/>
          <w:b/>
          <w:sz w:val="24"/>
        </w:rPr>
        <w:t>«ИНСТИТУТ»</w:t>
      </w:r>
    </w:p>
    <w:p>
      <w:pPr>
        <w:spacing w:before="40" w:after="40"/>
        <w:pBdr>
          <w:bottom w:val="single" w:sz="6" w:space="1" w:color="2E74B5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УТВЕРЖДАЮ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СОГЛАСОВАНО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Руководитель разработки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Научный руководитель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____________ / ____________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____________ / ____________</w:t>
            </w:r>
          </w:p>
        </w:tc>
      </w:tr>
      <w:tr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«____» ____________ 2026 г.</w:t>
            </w:r>
          </w:p>
        </w:tc>
        <w:tc>
          <w:tcPr>
            <w:tcW w:type="dxa" w:w="4677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«____» ____________ 2026 г.</w:t>
            </w:r>
          </w:p>
        </w:tc>
      </w:tr>
    </w:tbl>
    <w:p/>
    <w:p/>
    <w:p/>
    <w:p/>
    <w:p>
      <w:pPr>
        <w:jc w:val="center"/>
      </w:pPr>
      <w:r>
        <w:rPr>
          <w:rFonts w:ascii="Times New Roman" w:hAnsi="Times New Roman" w:eastAsia="Times New Roman"/>
          <w:b/>
          <w:color w:val="003366"/>
          <w:sz w:val="36"/>
        </w:rPr>
        <w:t>ТЕХНИЧЕСКОЕ ЗАДАНИЕ</w:t>
      </w:r>
    </w:p>
    <w:p>
      <w:pPr>
        <w:jc w:val="center"/>
      </w:pPr>
      <w:r>
        <w:rPr>
          <w:rFonts w:ascii="Times New Roman" w:hAnsi="Times New Roman" w:eastAsia="Times New Roman"/>
          <w:sz w:val="28"/>
        </w:rPr>
        <w:t>на разработку автоматизированной системы</w:t>
        <w:br/>
        <w:t>информационной поддержки принятия решений</w:t>
        <w:br/>
        <w:t>в области пожарной безопасности</w:t>
      </w:r>
    </w:p>
    <w:p/>
    <w:p>
      <w:pPr>
        <w:jc w:val="center"/>
      </w:pPr>
      <w:r>
        <w:rPr>
          <w:rFonts w:ascii="Times New Roman" w:hAnsi="Times New Roman" w:eastAsia="Times New Roman"/>
          <w:b/>
          <w:i/>
          <w:color w:val="1F497D"/>
          <w:sz w:val="32"/>
        </w:rPr>
        <w:t>«Fire Data Pipeline»</w:t>
      </w:r>
    </w:p>
    <w:p/>
    <w:p>
      <w:pPr>
        <w:jc w:val="center"/>
      </w:pPr>
      <w:r>
        <w:rPr>
          <w:rFonts w:ascii="Times New Roman" w:hAnsi="Times New Roman" w:eastAsia="Times New Roman"/>
          <w:i/>
          <w:sz w:val="24"/>
        </w:rPr>
        <w:t>ГОСТ 34.602-89</w:t>
      </w:r>
    </w:p>
    <w:p/>
    <w:p/>
    <w:p/>
    <w:p/>
    <w:p/>
    <w:p>
      <w:pPr>
        <w:jc w:val="center"/>
      </w:pPr>
      <w:r>
        <w:rPr>
          <w:rFonts w:ascii="Times New Roman" w:hAnsi="Times New Roman" w:eastAsia="Times New Roman"/>
          <w:sz w:val="24"/>
        </w:rPr>
        <w:t>2026 г.</w:t>
      </w:r>
    </w:p>
    <w:p>
      <w:pPr>
        <w:spacing w:before="40" w:after="40"/>
        <w:pBdr>
          <w:bottom w:val="single" w:sz="6" w:space="1" w:color="2E74B5"/>
        </w:pBdr>
      </w:pPr>
    </w:p>
    <w:p>
      <w:r>
        <w:br w:type="page"/>
      </w:r>
    </w:p>
    <w:p>
      <w:pPr>
        <w:pStyle w:val="Heading1"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color w:val="003366"/>
          <w:sz w:val="32"/>
        </w:rPr>
        <w:t>АННОТАЦИЯ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Настоящий документ является техническим заданием (ТЗ) на разработку автоматизированной системы информационной поддержки принятия решений в области пожарной безопасности «Fire Data Pipeline» (далее — Система, АС ПБ «FDP»). Документ разработан в соответствии с требованиями 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Система предназначена для интеллектуального анализа данных о пожарах на сельских территориях, прогнозирования пожарной обстановки, пространственного анализа рисков и информационной поддержки управленческих решений органов государственного пожарного надзора и подразделений пожарной охраны.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Техническое задание устанавливает назначение, цели создания, состав требований к системе, порядок разработки, приёмки и документирования.</w:t>
      </w:r>
    </w:p>
    <w:p>
      <w:r>
        <w:br w:type="page"/>
      </w:r>
    </w:p>
    <w:p>
      <w:pPr>
        <w:pStyle w:val="Heading1"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color w:val="003366"/>
          <w:sz w:val="32"/>
        </w:rPr>
        <w:t>СОДЕРЖАНИЕ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134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№ / Раздел</w:t>
            </w:r>
          </w:p>
        </w:tc>
        <w:tc>
          <w:tcPr>
            <w:tcW w:type="dxa" w:w="7370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Наименование раздела</w:t>
            </w:r>
          </w:p>
        </w:tc>
        <w:tc>
          <w:tcPr>
            <w:tcW w:type="dxa" w:w="850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Стр.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Общие сведения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1.1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Полное наименование системы и её условное обозначение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1.2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Шифр темы или шифр (номер) договора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1.3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Наименование предприятий разработчика и заказчика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1.4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Перечень документов, на основании которых создаётся система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1.5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Плановые сроки начала и окончания работы по созданию системы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1.6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Сведения об источниках и порядке финансирования работ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1.7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Порядок оформления и предъявления заказчику результатов работ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Назначение и цели создания системы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2.1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Назначение системы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2.2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Цели создания системы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2.3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Критерии оценки достижения целей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2.4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Целевая аудитория и пользователи системы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Характеристика объектов автоматизации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3.1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Краткие сведения об объекте автоматизации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3.2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Условия эксплуатации объекта автоматизации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3.3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Характеристики источников данных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Требования к системе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4.1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Требования к системе в целом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4.2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Требования к функциям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9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4.3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Требования к видам обеспечения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12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Состав и содержание работ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13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5.1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Этапы разработки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13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5.2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Содержание работ по этапам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13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5.3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Перечень документов по окончании работ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14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Порядок контроля и приёмки системы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14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6.1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Виды и объём испытаний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14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6.2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Общие требования к приёмке работы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15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Требования к составу и содержанию работ по подготовке объекта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15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7.1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Технические средства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15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7.2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Программное обеспечение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16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7.3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Информационное обеспечение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16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7.4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Организационные мероприятия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16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Требования к документированию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16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8.1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Перечень подлежащих разработке документов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16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8.2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Требования к оформлению документации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17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9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Источники разработки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17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9.1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Нормативные документы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17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9.2</w:t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Научно-техническая литература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17</w:t>
            </w:r>
          </w:p>
        </w:tc>
      </w:tr>
      <w:tr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9.3</w:t>
            </w:r>
          </w:p>
        </w:tc>
        <w:tc>
          <w:tcPr>
            <w:tcW w:type="dxa" w:w="737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Прикладные программные решения</w:t>
            </w:r>
          </w:p>
        </w:tc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18</w:t>
            </w:r>
          </w:p>
        </w:tc>
      </w:tr>
      <w:tr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737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Лист согласования</w:t>
            </w:r>
          </w:p>
        </w:tc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18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color w:val="003366"/>
          <w:sz w:val="32"/>
        </w:rPr>
        <w:t>1. ОБЩИЕ СВЕДЕНИЯ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1.1 Полное наименование системы и её условное обозначение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Полное наименование системы: «Автоматизированная система информационной поддержки принятия решений в области пожарной безопасности Fire Data Pipeline».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Условное обозначение системы: АС ПБ «FDP».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1.2 Шифр темы или шифр (номер) договора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Шифр темы: НИР-ПБ-2026-01. Система создаётся в рамках магистерской диссертационной работы.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1.3 Наименование предприятий разработчика и заказчика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Роль</w:t>
            </w:r>
          </w:p>
        </w:tc>
        <w:tc>
          <w:tcPr>
            <w:tcW w:type="dxa" w:w="4819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Наименование</w:t>
            </w:r>
          </w:p>
        </w:tc>
        <w:tc>
          <w:tcPr>
            <w:tcW w:type="dxa" w:w="2551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Контакт</w:t>
            </w:r>
          </w:p>
        </w:tc>
      </w:tr>
      <w:tr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Заказчик</w:t>
            </w:r>
          </w:p>
        </w:tc>
        <w:tc>
          <w:tcPr>
            <w:tcW w:type="dxa" w:w="4819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Кафедра информационных систем и технологий</w:t>
            </w:r>
          </w:p>
        </w:tc>
        <w:tc>
          <w:tcPr>
            <w:tcW w:type="dxa" w:w="255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Разработчик</w:t>
            </w:r>
          </w:p>
        </w:tc>
        <w:tc>
          <w:tcPr>
            <w:tcW w:type="dxa" w:w="4819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Студент-магистрант направления 09.04.02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—</w:t>
            </w:r>
          </w:p>
        </w:tc>
      </w:tr>
      <w:tr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Научный руководитель</w:t>
            </w:r>
          </w:p>
        </w:tc>
        <w:tc>
          <w:tcPr>
            <w:tcW w:type="dxa" w:w="4819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Кафедра информационных систем и технологий</w:t>
            </w:r>
          </w:p>
        </w:tc>
        <w:tc>
          <w:tcPr>
            <w:tcW w:type="dxa" w:w="255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—</w:t>
            </w:r>
          </w:p>
        </w:tc>
      </w:tr>
    </w:tbl>
    <w:p/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1.4 Перечень документов, на основании которых создаётся система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ГОСТ 34.602-89 — Техническое задание на создание автоматизированной системы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ГОСТ 34.601-90 — Автоматизированные системы. Стадии создания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ГОСТ 34.003-90 — Автоматизированные системы. Термины и определения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ГОСТ Р 7.0.11-2011 — Диссертация и автореферат диссертации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Технический регламент о требованиях пожарной безопасности (Федеральный закон № 123-ФЗ)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Приказ МЧС России № 174 — Регламент ведения статистики пожаров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Задание на выполнение магистерской диссертационной работы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1.5 Плановые сроки начала и окончания работы по созданию системы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Этап</w:t>
            </w:r>
          </w:p>
        </w:tc>
        <w:tc>
          <w:tcPr>
            <w:tcW w:type="dxa" w:w="1984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Начало</w:t>
            </w:r>
          </w:p>
        </w:tc>
        <w:tc>
          <w:tcPr>
            <w:tcW w:type="dxa" w:w="1984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Окончание</w:t>
            </w:r>
          </w:p>
        </w:tc>
      </w:tr>
      <w:tr>
        <w:tc>
          <w:tcPr>
            <w:tcW w:type="dxa" w:w="3969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Анализ предметной области и разработка ТЗ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Сентябрь 2025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Ноябрь 2025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Проектирование архитектуры и базы данных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Ноябрь 2025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Декабрь 2025</w:t>
            </w:r>
          </w:p>
        </w:tc>
      </w:tr>
      <w:tr>
        <w:tc>
          <w:tcPr>
            <w:tcW w:type="dxa" w:w="3969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Разработка программного обеспечения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Декабрь 2025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Март 2026</w:t>
            </w:r>
          </w:p>
        </w:tc>
      </w:tr>
      <w:tr>
        <w:tc>
          <w:tcPr>
            <w:tcW w:type="dxa" w:w="3969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Тестирование и отладка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Март 2026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Апрель 2026</w:t>
            </w:r>
          </w:p>
        </w:tc>
      </w:tr>
      <w:tr>
        <w:tc>
          <w:tcPr>
            <w:tcW w:type="dxa" w:w="3969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Документирование и защита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Апрель 2026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Июнь 2026</w:t>
            </w:r>
          </w:p>
        </w:tc>
      </w:tr>
    </w:tbl>
    <w:p/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1.6 Сведения об источниках и порядке финансирования работ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Работы по созданию системы финансируются в рамках государственного задания на выполнение научно-исследовательской работы. Внешнее финансирование не предусмотрено.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1.7 Порядок оформления и предъявления заказчику результатов работ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Результаты работ оформляются в виде: программного комплекса, технической документации, пояснительной записки к диссертации. Предъявление — путём публичной защиты на заседании государственной экзаменационной комиссии и передачи исходного кода в репозиторий.</w:t>
      </w:r>
    </w:p>
    <w:p>
      <w:r>
        <w:br w:type="page"/>
      </w:r>
    </w:p>
    <w:p>
      <w:pPr>
        <w:pStyle w:val="Heading1"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color w:val="003366"/>
          <w:sz w:val="32"/>
        </w:rPr>
        <w:t>2. НАЗНАЧЕНИЕ И ЦЕЛИ СОЗДАНИЯ СИСТЕМЫ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2.1 Назначение системы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АС ПБ «FDP» предназначена для комплексного интеллектуального анализа статистических данных о пожарах на сельских территориях, выявления закономерностей и факторов риска, прогнозирования пожарной обстановки и информационной поддержки управленческих решений уполномоченных органов в области пожарной безопасности.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Объект управления: пожарная обстановка на сельских территориях Российской Федерации. Вид деятельности: оперативный мониторинг, ретроспективный анализ, прогнозирование и пространственная оценка рисков возникновения пожаров.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2.2 Цели создания системы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1. Снижение времени подготовки аналитических материалов по пожарной обстановке с нескольких часов до нескольких минут.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2. Обеспечение достоверного краткосрочного прогноза числа пожаров с точностью не хуже 85% при горизонте 30 суток.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3. Выявление пространственных кластеров повышенного пожарного риска с точностью геолокации не хуже 1 км.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4. Обеспечение поддержки принятия решений по приоритизации профилактических мероприятий.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5. Автоматизация процессов загрузки, очистки и нормализации данных о пожарах.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2.3 Критерии оценки достижения целей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Цель</w:t>
            </w:r>
          </w:p>
        </w:tc>
        <w:tc>
          <w:tcPr>
            <w:tcW w:type="dxa" w:w="3685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Показатель</w:t>
            </w:r>
          </w:p>
        </w:tc>
        <w:tc>
          <w:tcPr>
            <w:tcW w:type="dxa" w:w="2268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Плановое значение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Скорость анализа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Время формирования отчёта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≤ 5 минут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Точность прогноза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Доля правильных прогнозов (±20%)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≥ 85%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Кластеризация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Silhouette Score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≥ 0,45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Доступность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Uptime при нагрузке ≤ 50 RPS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≥ 99%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Автоматизация ETL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Доля обработанных записей без ручного вмешательства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≥ 95%</w:t>
            </w:r>
          </w:p>
        </w:tc>
      </w:tr>
    </w:tbl>
    <w:p/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2.4 Целевая аудитория и пользователи системы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118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Категория пользователей</w:t>
            </w:r>
          </w:p>
        </w:tc>
        <w:tc>
          <w:tcPr>
            <w:tcW w:type="dxa" w:w="6236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Функции в системе</w:t>
            </w:r>
          </w:p>
        </w:tc>
      </w:tr>
      <w:tr>
        <w:tc>
          <w:tcPr>
            <w:tcW w:type="dxa" w:w="311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Сотрудники ГПН и МЧС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Просмотр аналитических панелей, картографических данных, прогнозов</w:t>
            </w:r>
          </w:p>
        </w:tc>
      </w:tr>
      <w:tr>
        <w:tc>
          <w:tcPr>
            <w:tcW w:type="dxa" w:w="311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Аналитики и статистики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Формирование отчётов, экспорт данных, запуск ML-моделей</w:t>
            </w:r>
          </w:p>
        </w:tc>
      </w:tr>
      <w:tr>
        <w:tc>
          <w:tcPr>
            <w:tcW w:type="dxa" w:w="311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Администратор системы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Загрузка данных, очистка таблиц, управление кэшем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color w:val="003366"/>
          <w:sz w:val="32"/>
        </w:rPr>
        <w:t>3. ХАРАКТЕРИСТИКА ОБЪЕКТОВ АВТОМАТИЗАЦИИ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3.1 Краткие сведения об объекте автоматизации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Объект автоматизации — процессы сбора, хранения, обработки и анализа данных о пожарах на сельских территориях РФ. Источником данных является официальная статистика МЧС России, включающая сведения об адресе, дате и времени, причинах, последствиях и параметрах реагирования для каждого пожара.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Специфика объекта: неоднородность форматов входных данных, наличие пропущенных значений, топонимическая вариативность наименований населённых пунктов, выраженная сезонная и суточная цикличность распределения пожаров, пространственная неравномерность плотности записей.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3.2 Условия эксплуатации объекта автоматизации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Режим эксплуатации: круглосуточный, 365 дней в году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Количество одновременных пользователей: до 50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Объём данных: до 500 000 записей в базе данных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Обновление данных: периодическое (по мере поступления новых отчётов)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Доступ: локальная сеть или защищённый веб-интерфейс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3.3 Характеристики источников данных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Источник</w:t>
            </w:r>
          </w:p>
        </w:tc>
        <w:tc>
          <w:tcPr>
            <w:tcW w:type="dxa" w:w="1417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Формат</w:t>
            </w:r>
          </w:p>
        </w:tc>
        <w:tc>
          <w:tcPr>
            <w:tcW w:type="dxa" w:w="1984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Периодичность</w:t>
            </w:r>
          </w:p>
        </w:tc>
        <w:tc>
          <w:tcPr>
            <w:tcW w:type="dxa" w:w="2268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Объём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Статистика МЧС (форма 1-ПЖ)</w:t>
            </w:r>
          </w:p>
        </w:tc>
        <w:tc>
          <w:tcPr>
            <w:tcW w:type="dxa" w:w="141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XLSX / XLS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Ежеквартально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~5 000 зап./год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Исторический архив пожаров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XLSX / CSV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Однократно при вводе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до 300 000 зап.</w:t>
            </w:r>
          </w:p>
        </w:tc>
      </w:tr>
      <w:tr>
        <w:tc>
          <w:tcPr>
            <w:tcW w:type="dxa" w:w="255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Геоданные населённых пунктов</w:t>
            </w:r>
          </w:p>
        </w:tc>
        <w:tc>
          <w:tcPr>
            <w:tcW w:type="dxa" w:w="141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CSV / GeoJSON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Однократно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~155 000 нас.п.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Справочники и классификаторы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XLSX / JSON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По мере обновления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статические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color w:val="003366"/>
          <w:sz w:val="32"/>
        </w:rPr>
        <w:t>4. ТРЕБОВАНИЯ К СИСТЕМЕ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4.1 Требования к системе в целом</w:t>
      </w:r>
    </w:p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4.1.1 Требования к структуре и функционированию системы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Система должна реализовывать модульно-слоевую архитектуру, включающую: слой загрузки и хранения данных, слой бизнес-логики и аналитики, слой кэширования, слой представления. Взаимодействие слоёв осуществляется через чётко определённые программные интерфейсы.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Веб-интерфейс с семью аналитическими вкладками (модулями)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REST API для программного доступа к аналитическим функциям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Кэширование результатов вычислений с TTL-политиками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Модуль управления данными (загрузка, очистка, нормализация)</w:t>
      </w:r>
    </w:p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4.1.2 Требования к надёжности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Коэффициент готовности: ≥ 0,99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Среднее время восстановления после сбоя: ≤ 30 минут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Корректная обработка ошибок с информативными сообщениями пользователю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Транзакционная целостность при записи в базу данных</w:t>
      </w:r>
    </w:p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4.1.3 Требования к безопасности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Разграничение доступа по ролям (администратор / аналитик / пользователь)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Хранение паролей в хэшированном виде (bcrypt)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Защита от SQL-инъекций (параметризованные запросы через ORM)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HTTPS для передачи данных в веб-интерфейсе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Журналирование действий пользователей и системных событий</w:t>
      </w:r>
    </w:p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4.1.4 Требования к эргономике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Время отклика интерфейса при наличии кэша: ≤ 2 с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Время отклика при первичном расчёте: ≤ 30 с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Адаптивный веб-интерфейс (разрешение от 1024×768)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Русскоязычный интерфейс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4.2 Требования к функциям (задачам)</w:t>
      </w:r>
    </w:p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4.2.1 Модуль A1 — Информационная панель (Dashboard)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Модуль должен обеспечивать отображение ключевых показателей пожарной обстановки в агрегированном виде. Данные формируются на основе SQL-запросов с конструкцией GROUPING SETS для многомерного агрегирования. Кэш TTL = 300 с.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Код</w:t>
            </w:r>
          </w:p>
        </w:tc>
        <w:tc>
          <w:tcPr>
            <w:tcW w:type="dxa" w:w="6236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Функция</w:t>
            </w:r>
          </w:p>
        </w:tc>
        <w:tc>
          <w:tcPr>
            <w:tcW w:type="dxa" w:w="1701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Приоритет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Ф-01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Суммарное число пожаров за выбранный период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Ф-02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Динамика по месяцам (гистограмма)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Ф-03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Топ-10 районов по числу пожаров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Ф-04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Фильтрация по году, региону, типу объекта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Ф-05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Экспорт данных в CSV/XLSX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Желательно</w:t>
            </w:r>
          </w:p>
        </w:tc>
      </w:tr>
    </w:tbl>
    <w:p/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4.2.2 Модуль A2 — Сценарный прогноз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Модуль формирует прогноз числа пожаров на основе метода скользящей выборки с расширяющимся окном (rolling-origin CV, 8–45 итераций). Применяется регрессионная модель с отбором по отклонению Пуассона. Bootstrap-ДИ — 1000 повторных выборок. Кэш TTL = 120 с.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Код</w:t>
            </w:r>
          </w:p>
        </w:tc>
        <w:tc>
          <w:tcPr>
            <w:tcW w:type="dxa" w:w="6236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Функция</w:t>
            </w:r>
          </w:p>
        </w:tc>
        <w:tc>
          <w:tcPr>
            <w:tcW w:type="dxa" w:w="1701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Приоритет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Ф-06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Прогноз на горизонт 30/60/90 суток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Ф-07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Сценарии: оптимистичный / базовый / пессимистичный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Ф-08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Доверительные интервалы прогноза (95%)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Ф-09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Выбор района и типа объекта как параметры сценария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Желательно</w:t>
            </w:r>
          </w:p>
        </w:tc>
      </w:tr>
    </w:tbl>
    <w:p/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4.2.3 Модуль A3 — ML-прогноз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Модуль строит прогноз на основе обученной модели машинного обучения (scikit-learn). Поддерживает градиентный бустинг и случайный лес. Включает оценку важности признаков и метрики качества модели. Кэш TTL = 120 с.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Код</w:t>
            </w:r>
          </w:p>
        </w:tc>
        <w:tc>
          <w:tcPr>
            <w:tcW w:type="dxa" w:w="6236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Функция</w:t>
            </w:r>
          </w:p>
        </w:tc>
        <w:tc>
          <w:tcPr>
            <w:tcW w:type="dxa" w:w="1701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Приоритет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Ф-10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Прогноз по ML-модели на заданный период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Ф-11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Сравнение ML-прогноза со статистическим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Ф-12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Отображение важности признаков (Feature Importance)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Ф-13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Метрики модели: MAE, RMSE, R²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</w:tbl>
    <w:p/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4.2.4 Модуль A4 — Кластеризация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Модуль выявляет пространственные кластеры пожаров на основе взвешенного алгоритма k-средних с логарифмическим преобразованием признаков (w = log(1+x)). Оптимальное k определяется по методу «локтя» и Silhouette-коэффициенту. Кэш TTL = 3600 с.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Код</w:t>
            </w:r>
          </w:p>
        </w:tc>
        <w:tc>
          <w:tcPr>
            <w:tcW w:type="dxa" w:w="6236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Функция</w:t>
            </w:r>
          </w:p>
        </w:tc>
        <w:tc>
          <w:tcPr>
            <w:tcW w:type="dxa" w:w="1701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Приоритет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Ф-14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Кластеризация пожаров по заданному набору признаков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Ф-15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Интерактивная карта кластеров (Folium + Leaflet)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Ф-16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Профили кластеров в табличном виде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Ф-17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Выбор числа кластеров пользователем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Желательно</w:t>
            </w:r>
          </w:p>
        </w:tc>
      </w:tr>
    </w:tbl>
    <w:p/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4.2.5 Модуль A5 — Проблемные точки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Модуль вычисляет индекс пожарного риска для населённых пунктов методом геосеточной агрегации с весовым коэффициентом давности: w = max(0,2; 1 − Δt/T). Ранжирует пункты по уровню риска. Кэш TTL = 300 с.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Код</w:t>
            </w:r>
          </w:p>
        </w:tc>
        <w:tc>
          <w:tcPr>
            <w:tcW w:type="dxa" w:w="6236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Функция</w:t>
            </w:r>
          </w:p>
        </w:tc>
        <w:tc>
          <w:tcPr>
            <w:tcW w:type="dxa" w:w="1701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Приоритет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Ф-18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Ранжированный список населённых пунктов по риску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Ф-19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Тепловая карта плотности риска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Ф-20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Фильтрация по региону, типу местности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Ф-21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Экспорт топ-N проблемных точек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Желательно</w:t>
            </w:r>
          </w:p>
        </w:tc>
      </w:tr>
    </w:tbl>
    <w:p/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4.2.6 Модуль A6 — Fire-Map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Модуль обеспечивает интерактивное картографическое отображение пожаров с использованием Folium и Leaflet. Поддерживает послойное отображение, фильтрацию по периоду и типу объекта. Кэш TTL = 300 с.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Код</w:t>
            </w:r>
          </w:p>
        </w:tc>
        <w:tc>
          <w:tcPr>
            <w:tcW w:type="dxa" w:w="6236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Функция</w:t>
            </w:r>
          </w:p>
        </w:tc>
        <w:tc>
          <w:tcPr>
            <w:tcW w:type="dxa" w:w="1701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Приоритет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Ф-22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Карта отдельных пожаров (точечные маркеры)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Ф-23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Тепловая карта частоты пожаров (Heatmap)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Ф-24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Фильтрация по дате, типу, региону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Ф-25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Всплывающие подсказки с атрибутами пожара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</w:tbl>
    <w:p/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4.2.7 Модуль A7 — ETL и очистка данных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Модуль реализует полный цикл ETL: загрузку файлов XLSX/XLS/CSV, нормализацию наименований (unidecode + fuzzy-match), валидацию, геокодирование населённых пунктов и запись в PostgreSQL. Поддерживает пошаговый просмотр и ручную корректировку данных.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Код</w:t>
            </w:r>
          </w:p>
        </w:tc>
        <w:tc>
          <w:tcPr>
            <w:tcW w:type="dxa" w:w="6236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Функция</w:t>
            </w:r>
          </w:p>
        </w:tc>
        <w:tc>
          <w:tcPr>
            <w:tcW w:type="dxa" w:w="1701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Приоритет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Ф-26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Загрузка файлов XLSX/XLS/CSV через веб-интерфейс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Ф-27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Автоматическая нормализация топонимов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Ф-28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Валидация форматов, выявление дублей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Ф-29</w:t>
            </w:r>
          </w:p>
        </w:tc>
        <w:tc>
          <w:tcPr>
            <w:tcW w:type="dxa" w:w="6236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Удаление и архивирование устаревших записей</w:t>
            </w:r>
          </w:p>
        </w:tc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Ф-30</w:t>
            </w:r>
          </w:p>
        </w:tc>
        <w:tc>
          <w:tcPr>
            <w:tcW w:type="dxa" w:w="6236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Журнал операций загрузки и ошибок</w:t>
            </w:r>
          </w:p>
        </w:tc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Обязательно</w:t>
            </w:r>
          </w:p>
        </w:tc>
      </w:tr>
    </w:tbl>
    <w:p/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4.3 Требования к видам обеспечения</w:t>
      </w:r>
    </w:p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4.3.1 Математическое обеспечение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835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Метод / алгоритм</w:t>
            </w:r>
          </w:p>
        </w:tc>
        <w:tc>
          <w:tcPr>
            <w:tcW w:type="dxa" w:w="2835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Применение</w:t>
            </w:r>
          </w:p>
        </w:tc>
        <w:tc>
          <w:tcPr>
            <w:tcW w:type="dxa" w:w="3118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Параметры</w:t>
            </w:r>
          </w:p>
        </w:tc>
      </w:tr>
      <w:tr>
        <w:tc>
          <w:tcPr>
            <w:tcW w:type="dxa" w:w="283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Взвешенный k-means (log1p)</w:t>
            </w:r>
          </w:p>
        </w:tc>
        <w:tc>
          <w:tcPr>
            <w:tcW w:type="dxa" w:w="283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Кластеризация пожаров</w:t>
            </w:r>
          </w:p>
        </w:tc>
        <w:tc>
          <w:tcPr>
            <w:tcW w:type="dxa" w:w="311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k ∈ [2,15], w = log(1+x)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Rolling-origin CV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Валидация прогностических моделей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8–45 окон</w:t>
            </w:r>
          </w:p>
        </w:tc>
      </w:tr>
      <w:tr>
        <w:tc>
          <w:tcPr>
            <w:tcW w:type="dxa" w:w="283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Регрессия Пуассона</w:t>
            </w:r>
          </w:p>
        </w:tc>
        <w:tc>
          <w:tcPr>
            <w:tcW w:type="dxa" w:w="283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Сценарный прогноз числа пожаров</w:t>
            </w:r>
          </w:p>
        </w:tc>
        <w:tc>
          <w:tcPr>
            <w:tcW w:type="dxa" w:w="311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Отбор по deviance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Bootstrap ДИ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Доверительные интервалы прогноза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1000 выборок, α = 0,05</w:t>
            </w:r>
          </w:p>
        </w:tc>
      </w:tr>
      <w:tr>
        <w:tc>
          <w:tcPr>
            <w:tcW w:type="dxa" w:w="283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Geo-grid risk</w:t>
            </w:r>
          </w:p>
        </w:tc>
        <w:tc>
          <w:tcPr>
            <w:tcW w:type="dxa" w:w="283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Пространственный индекс риска</w:t>
            </w:r>
          </w:p>
        </w:tc>
        <w:tc>
          <w:tcPr>
            <w:tcW w:type="dxa" w:w="311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w = max(0.2, 1−Δt/T)</w:t>
            </w:r>
          </w:p>
        </w:tc>
      </w:tr>
      <w:tr>
        <w:tc>
          <w:tcPr>
            <w:tcW w:type="dxa" w:w="283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GBM / RandomForest</w:t>
            </w:r>
          </w:p>
        </w:tc>
        <w:tc>
          <w:tcPr>
            <w:tcW w:type="dxa" w:w="283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ML-прогноз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GridSearchCV, 5-fold</w:t>
            </w:r>
          </w:p>
        </w:tc>
      </w:tr>
    </w:tbl>
    <w:p/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4.3.2 Программное обеспечение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Компонент</w:t>
            </w:r>
          </w:p>
        </w:tc>
        <w:tc>
          <w:tcPr>
            <w:tcW w:type="dxa" w:w="2268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Технология / версия</w:t>
            </w:r>
          </w:p>
        </w:tc>
        <w:tc>
          <w:tcPr>
            <w:tcW w:type="dxa" w:w="4252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Назначение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Язык программирования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Python 3.10+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Основная платформа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Веб-фреймворк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FastAPI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HTTP API и маршрутизация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Шаблонизатор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Jinja2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Серверный рендеринг страниц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ORM / доступ к БД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SQLAlchemy 2.x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Абстракция над PostgreSQL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Обработка данных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pandas, numpy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ETL, агрегация, расчёты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Научные вычисления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scipy, statsmodels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Статистический анализ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Машинное обучение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scikit-learn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Кластеризация, ML-прогноз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Визуализация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Plotly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Интерактивные графики и диаграммы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Картография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Folium + Leaflet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Интерактивные карты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Кэширование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Redis 7.x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TTL-кэш аналитических результатов</w:t>
            </w:r>
          </w:p>
        </w:tc>
      </w:tr>
      <w:tr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СУБД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PostgreSQL 15+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Хранение данных о пожарах</w:t>
            </w:r>
          </w:p>
        </w:tc>
      </w:tr>
      <w:tr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Контейнеризация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Docker / docker-compose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Развёртывание и изоляция</w:t>
            </w:r>
          </w:p>
        </w:tc>
      </w:tr>
    </w:tbl>
    <w:p/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4.3.3 Техническое обеспечение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701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Параметр</w:t>
            </w:r>
          </w:p>
        </w:tc>
        <w:tc>
          <w:tcPr>
            <w:tcW w:type="dxa" w:w="3118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Минимальные требования</w:t>
            </w:r>
          </w:p>
        </w:tc>
        <w:tc>
          <w:tcPr>
            <w:tcW w:type="dxa" w:w="3402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Рекомендуемые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ЦПУ</w:t>
            </w:r>
          </w:p>
        </w:tc>
        <w:tc>
          <w:tcPr>
            <w:tcW w:type="dxa" w:w="311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4 ядра, 2,0 ГГц</w:t>
            </w:r>
          </w:p>
        </w:tc>
        <w:tc>
          <w:tcPr>
            <w:tcW w:type="dxa" w:w="340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8 ядер, 3,0+ ГГц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ОЗУ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8 ГБ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16 ГБ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Диск</w:t>
            </w:r>
          </w:p>
        </w:tc>
        <w:tc>
          <w:tcPr>
            <w:tcW w:type="dxa" w:w="311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50 ГБ SSD</w:t>
            </w:r>
          </w:p>
        </w:tc>
        <w:tc>
          <w:tcPr>
            <w:tcW w:type="dxa" w:w="340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200 ГБ NVMe SSD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ОС</w:t>
            </w:r>
          </w:p>
        </w:tc>
        <w:tc>
          <w:tcPr>
            <w:tcW w:type="dxa" w:w="311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Linux (Ubuntu 22.04+) / Windows Server 2019+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Linux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Сеть</w:t>
            </w:r>
          </w:p>
        </w:tc>
        <w:tc>
          <w:tcPr>
            <w:tcW w:type="dxa" w:w="311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100 Мбит/с</w:t>
            </w:r>
          </w:p>
        </w:tc>
        <w:tc>
          <w:tcPr>
            <w:tcW w:type="dxa" w:w="340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 Гбит/с</w:t>
            </w:r>
          </w:p>
        </w:tc>
      </w:tr>
    </w:tbl>
    <w:p/>
    <w:p>
      <w:pPr>
        <w:pStyle w:val="Heading3"/>
        <w:spacing w:before="120" w:after="60"/>
        <w:ind w:firstLine="0"/>
        <w:jc w:val="left"/>
      </w:pPr>
      <w:r>
        <w:rPr>
          <w:rFonts w:ascii="Times New Roman" w:hAnsi="Times New Roman" w:eastAsia="Times New Roman"/>
          <w:b/>
          <w:i/>
          <w:color w:val="2F5F8F"/>
          <w:sz w:val="28"/>
        </w:rPr>
        <w:t>4.3.4 Информационное обеспечение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Основная таблица пожаров: не менее 30 атрибутов на запись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Справочник населённых пунктов: координаты, тип, регион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Справочники классификаторов: типы объектов, причины пожаров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Кодировка: UTF-8 для всех хранимых и передаваемых данных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Резервное копирование: pg_dump, не реже 1 раза в сутки</w:t>
      </w:r>
    </w:p>
    <w:p>
      <w:r>
        <w:br w:type="page"/>
      </w:r>
    </w:p>
    <w:p>
      <w:pPr>
        <w:pStyle w:val="Heading1"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color w:val="003366"/>
          <w:sz w:val="32"/>
        </w:rPr>
        <w:t>5. СОСТАВ И СОДЕРЖАНИЕ РАБОТ ПО СОЗДАНИЮ СИСТЕМЫ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5.1 Этапы разработки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97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№</w:t>
            </w:r>
          </w:p>
        </w:tc>
        <w:tc>
          <w:tcPr>
            <w:tcW w:type="dxa" w:w="3685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Наименование этапа</w:t>
            </w:r>
          </w:p>
        </w:tc>
        <w:tc>
          <w:tcPr>
            <w:tcW w:type="dxa" w:w="1984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Срок</w:t>
            </w:r>
          </w:p>
        </w:tc>
        <w:tc>
          <w:tcPr>
            <w:tcW w:type="dxa" w:w="2721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Результат</w:t>
            </w:r>
          </w:p>
        </w:tc>
      </w:tr>
      <w:tr>
        <w:tc>
          <w:tcPr>
            <w:tcW w:type="dxa" w:w="39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Формирование ТЗ и анализ предметной области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Сент.–Нояб. 2025</w:t>
            </w:r>
          </w:p>
        </w:tc>
        <w:tc>
          <w:tcPr>
            <w:tcW w:type="dxa" w:w="272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Утверждённое ТЗ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Проектирование архитектуры и схемы БД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Нояб.–Дек. 2025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Техническое проектирование</w:t>
            </w:r>
          </w:p>
        </w:tc>
      </w:tr>
      <w:tr>
        <w:tc>
          <w:tcPr>
            <w:tcW w:type="dxa" w:w="39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Разработка ETL-модуля и БД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Дек. 2025 – Янв. 2026</w:t>
            </w:r>
          </w:p>
        </w:tc>
        <w:tc>
          <w:tcPr>
            <w:tcW w:type="dxa" w:w="272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Рабочий ETL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Разработка аналитических модулей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Янв.–Март 2026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7 функциональных модулей</w:t>
            </w:r>
          </w:p>
        </w:tc>
      </w:tr>
      <w:tr>
        <w:tc>
          <w:tcPr>
            <w:tcW w:type="dxa" w:w="39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Разработка веб-интерфейса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Февр.–Март 2026</w:t>
            </w:r>
          </w:p>
        </w:tc>
        <w:tc>
          <w:tcPr>
            <w:tcW w:type="dxa" w:w="272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Веб-приложение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Тестирование, отладка, оптимизация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Март–Апр. 2026</w:t>
            </w:r>
          </w:p>
        </w:tc>
        <w:tc>
          <w:tcPr>
            <w:tcW w:type="dxa" w:w="272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Протоколы испытаний</w:t>
            </w:r>
          </w:p>
        </w:tc>
      </w:tr>
      <w:tr>
        <w:tc>
          <w:tcPr>
            <w:tcW w:type="dxa" w:w="39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Документирование и защита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Апр.–Июнь 2026</w:t>
            </w:r>
          </w:p>
        </w:tc>
        <w:tc>
          <w:tcPr>
            <w:tcW w:type="dxa" w:w="272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Полный комплект документов</w:t>
            </w:r>
          </w:p>
        </w:tc>
      </w:tr>
    </w:tbl>
    <w:p/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5.2 Содержание работ по этапам</w:t>
      </w:r>
    </w:p>
    <w:p>
      <w:pPr>
        <w:spacing w:after="120" w:before="0" w:lineRule="auto" w:line="360"/>
        <w:jc w:val="both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Этап 1 (Анализ и ТЗ):</w:t>
      </w:r>
    </w:p>
    <w:p>
      <w:pPr>
        <w:spacing w:after="60" w:lineRule="auto" w:line="360"/>
        <w:ind w:left="1134" w:hanging="283"/>
      </w:pPr>
      <w:r>
        <w:rPr>
          <w:rFonts w:ascii="Times New Roman" w:hAnsi="Times New Roman" w:eastAsia="Times New Roman"/>
          <w:sz w:val="28"/>
        </w:rPr>
        <w:t>– Изучение предметной области (пожарная безопасность сельских территорий)</w:t>
      </w:r>
    </w:p>
    <w:p>
      <w:pPr>
        <w:spacing w:after="60" w:lineRule="auto" w:line="360"/>
        <w:ind w:left="1134" w:hanging="283"/>
      </w:pPr>
      <w:r>
        <w:rPr>
          <w:rFonts w:ascii="Times New Roman" w:hAnsi="Times New Roman" w:eastAsia="Times New Roman"/>
          <w:sz w:val="28"/>
        </w:rPr>
        <w:t>– Обследование источников данных и форматов отчётности МЧС</w:t>
      </w:r>
    </w:p>
    <w:p>
      <w:pPr>
        <w:spacing w:after="60" w:lineRule="auto" w:line="360"/>
        <w:ind w:left="1134" w:hanging="283"/>
      </w:pPr>
      <w:r>
        <w:rPr>
          <w:rFonts w:ascii="Times New Roman" w:hAnsi="Times New Roman" w:eastAsia="Times New Roman"/>
          <w:sz w:val="28"/>
        </w:rPr>
        <w:t>– Разработка функциональных требований и IDEF0-моделей</w:t>
      </w:r>
    </w:p>
    <w:p>
      <w:pPr>
        <w:spacing w:after="60" w:lineRule="auto" w:line="360"/>
        <w:ind w:left="1134" w:hanging="283"/>
      </w:pPr>
      <w:r>
        <w:rPr>
          <w:rFonts w:ascii="Times New Roman" w:hAnsi="Times New Roman" w:eastAsia="Times New Roman"/>
          <w:sz w:val="28"/>
        </w:rPr>
        <w:t>– Составление и согласование Технического задания</w:t>
      </w:r>
    </w:p>
    <w:p>
      <w:pPr>
        <w:spacing w:after="120" w:before="0" w:lineRule="auto" w:line="360"/>
        <w:jc w:val="both"/>
      </w:pPr>
      <w:r>
        <w:rPr>
          <w:rFonts w:ascii="Times New Roman" w:hAnsi="Times New Roman" w:eastAsia="Times New Roman"/>
          <w:b/>
          <w:i w:val="0"/>
          <w:sz w:val="28"/>
          <w:u w:val="none"/>
        </w:rPr>
        <w:t>Этап 3–5 (Разработка):</w:t>
      </w:r>
    </w:p>
    <w:p>
      <w:pPr>
        <w:spacing w:after="60" w:lineRule="auto" w:line="360"/>
        <w:ind w:left="1134" w:hanging="283"/>
      </w:pPr>
      <w:r>
        <w:rPr>
          <w:rFonts w:ascii="Times New Roman" w:hAnsi="Times New Roman" w:eastAsia="Times New Roman"/>
          <w:sz w:val="28"/>
        </w:rPr>
        <w:t>– Создание схемы PostgreSQL и модулей ETL (загрузка, валидация, нормализация)</w:t>
      </w:r>
    </w:p>
    <w:p>
      <w:pPr>
        <w:spacing w:after="60" w:lineRule="auto" w:line="360"/>
        <w:ind w:left="1134" w:hanging="283"/>
      </w:pPr>
      <w:r>
        <w:rPr>
          <w:rFonts w:ascii="Times New Roman" w:hAnsi="Times New Roman" w:eastAsia="Times New Roman"/>
          <w:sz w:val="28"/>
        </w:rPr>
        <w:t>– Реализация аналитических алгоритмов (кластеризация, прогноз, риск)</w:t>
      </w:r>
    </w:p>
    <w:p>
      <w:pPr>
        <w:spacing w:after="60" w:lineRule="auto" w:line="360"/>
        <w:ind w:left="1134" w:hanging="283"/>
      </w:pPr>
      <w:r>
        <w:rPr>
          <w:rFonts w:ascii="Times New Roman" w:hAnsi="Times New Roman" w:eastAsia="Times New Roman"/>
          <w:sz w:val="28"/>
        </w:rPr>
        <w:t>– Разработка REST API (FastAPI) и шаблонов интерфейса (Jinja2 + Plotly + Folium)</w:t>
      </w:r>
    </w:p>
    <w:p>
      <w:pPr>
        <w:spacing w:after="60" w:lineRule="auto" w:line="360"/>
        <w:ind w:left="1134" w:hanging="283"/>
      </w:pPr>
      <w:r>
        <w:rPr>
          <w:rFonts w:ascii="Times New Roman" w:hAnsi="Times New Roman" w:eastAsia="Times New Roman"/>
          <w:sz w:val="28"/>
        </w:rPr>
        <w:t>– Настройка кэширования Redis с дифференцированными TTL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5.3 Перечень документов по окончании работ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Техническое задание (ГОСТ 34.602-89)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Технический проект (архитектурные схемы, IDEF0, ER-диаграмма)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Рабочая документация (описание программы, инструкции)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Программа и методика испытаний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Акт приёмо-сдаточных испытаний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Пояснительная записка к диссертации</w:t>
      </w:r>
    </w:p>
    <w:p>
      <w:r>
        <w:br w:type="page"/>
      </w:r>
    </w:p>
    <w:p>
      <w:pPr>
        <w:pStyle w:val="Heading1"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color w:val="003366"/>
          <w:sz w:val="32"/>
        </w:rPr>
        <w:t>6. ПОРЯДОК КОНТРОЛЯ И ПРИЁМКИ СИСТЕМЫ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6.1 Виды и объём испытаний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Испытания проводятся по программе и методике испытаний, включающей следующие категории тест-кейсов: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850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ID</w:t>
            </w:r>
          </w:p>
        </w:tc>
        <w:tc>
          <w:tcPr>
            <w:tcW w:type="dxa" w:w="4252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Наименование теста</w:t>
            </w:r>
          </w:p>
        </w:tc>
        <w:tc>
          <w:tcPr>
            <w:tcW w:type="dxa" w:w="3685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Ожидаемый результат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TC-01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Загрузка корректного XLSX-файла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Данные записаны в БД без ошибок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TC-02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Загрузка файла с дублями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Дубли выявлены и помечены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TC-03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Загрузка файла с некорректными форматами дат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Ошибочные строки помещены в карантин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TC-04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Формирование сводной панели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Показатели совпадают с эталоном (±1%)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TC-05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Фильтрация панели по году и региону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Корректная фильтрация, время ≤ 2 с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TC-06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Сценарный прогноз на 30 суток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Прогноз рассчитан, ДИ отображены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TC-07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ML-прогноз: метрики модели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MAE и RMSE в пределах нормы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TC-08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Кластеризация (k=5)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Карта кластеров, Silhouette ≥ 0,45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TC-09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Проблемные точки: топ-20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Список отсортирован по убыванию риска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TC-10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Fire-Map: тепловая карта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Карта отображена без ошибок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TC-11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Кэш: повторный запрос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Время отклика ≤ 500 мс (из кэша)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TC-12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Инвалидация кэша после обновления данных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Кэш сброшен, новые данные отображены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TC-13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Нагрузка: 50 одновременных запросов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Все запросы выполнены, нет ошибок 5xx</w:t>
            </w:r>
          </w:p>
        </w:tc>
      </w:tr>
      <w:tr>
        <w:tc>
          <w:tcPr>
            <w:tcW w:type="dxa" w:w="850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TC-14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Экспорт CSV из панели</w:t>
            </w:r>
          </w:p>
        </w:tc>
        <w:tc>
          <w:tcPr>
            <w:tcW w:type="dxa" w:w="3685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Файл скачан, содержит корректные данные</w:t>
            </w:r>
          </w:p>
        </w:tc>
      </w:tr>
      <w:tr>
        <w:tc>
          <w:tcPr>
            <w:tcW w:type="dxa" w:w="850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TC-15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Доступность при перезапуске Redis</w:t>
            </w:r>
          </w:p>
        </w:tc>
        <w:tc>
          <w:tcPr>
            <w:tcW w:type="dxa" w:w="3685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Система продолжает работу без кэша</w:t>
            </w:r>
          </w:p>
        </w:tc>
      </w:tr>
    </w:tbl>
    <w:p/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6.2 Общие требования к приёмке работы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Все тест-кейсы TC-01–TC-15 должны быть пройдены успешно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Устранены все критические и блокирующие дефекты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Передан полный комплект документации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Передан исходный код в систему контроля версий (Git)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Проведена демонстрация системы членам ГЭК</w:t>
      </w:r>
    </w:p>
    <w:p>
      <w:r>
        <w:br w:type="page"/>
      </w:r>
    </w:p>
    <w:p>
      <w:pPr>
        <w:pStyle w:val="Heading1"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color w:val="003366"/>
          <w:sz w:val="32"/>
        </w:rPr>
        <w:t>7. ТРЕБОВАНИЯ К СОСТАВУ И СОДЕРЖАНИЮ РАБОТ ПО ПОДГОТОВКЕ ОБЪЕКТА АВТОМАТИЗАЦИИ К ВВОДУ СИСТЕМЫ В ДЕЙСТВИЕ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7.1 Технические средства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До начала опытной эксплуатации должны быть подготовлены серверные мощности в соответствии с требованиями раздела 4.3.3. Рекомендуется использование Docker-контейнеров для изоляции компонентов системы.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7.2 Программное обеспечение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На сервере должны быть установлены: Docker Engine 24+, docker-compose 2.x, Python 3.10+ (для разработки без Docker). Зависимости Python устанавливаются через requirements.txt. Конфигурация через переменные среды (.env-файл).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7.3 Информационное обеспечение</w:t>
      </w:r>
    </w:p>
    <w:p>
      <w:pPr>
        <w:spacing w:after="120" w:before="0" w:lineRule="auto" w:line="360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  <w:u w:val="none"/>
        </w:rPr>
        <w:t>Перед вводом в эксплуатацию необходимо: создать схему БД (DDL-скрипты прилагаются), загрузить первичные справочники населённых пунктов, классификаторы типов объектов и причин пожаров, выполнить первичную загрузку исторических данных через модуль ETL.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7.4 Организационные мероприятия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Назначить ответственного администратора системы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Провести инструктаж пользователей (3–4 часа)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Разработать регламент периодического обновления данных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Определить ответственного за резервное копирование БД</w:t>
      </w:r>
    </w:p>
    <w:p>
      <w:r>
        <w:br w:type="page"/>
      </w:r>
    </w:p>
    <w:p>
      <w:pPr>
        <w:pStyle w:val="Heading1"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color w:val="003366"/>
          <w:sz w:val="32"/>
        </w:rPr>
        <w:t>8. ТРЕБОВАНИЯ К ДОКУМЕНТИРОВАНИЮ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8.1 Перечень подлежащих разработке документов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97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№</w:t>
            </w:r>
          </w:p>
        </w:tc>
        <w:tc>
          <w:tcPr>
            <w:tcW w:type="dxa" w:w="4252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Наименование документа</w:t>
            </w:r>
          </w:p>
        </w:tc>
        <w:tc>
          <w:tcPr>
            <w:tcW w:type="dxa" w:w="2268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Стадия</w:t>
            </w:r>
          </w:p>
        </w:tc>
        <w:tc>
          <w:tcPr>
            <w:tcW w:type="dxa" w:w="1871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Формат</w:t>
            </w:r>
          </w:p>
        </w:tc>
      </w:tr>
      <w:tr>
        <w:tc>
          <w:tcPr>
            <w:tcW w:type="dxa" w:w="39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Техническое задание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ТЗ</w:t>
            </w:r>
          </w:p>
        </w:tc>
        <w:tc>
          <w:tcPr>
            <w:tcW w:type="dxa" w:w="187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DOCX / PDF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2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Технический проект (архитектура, IDEF0, ER)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Эскизный / Технический проект</w:t>
            </w:r>
          </w:p>
        </w:tc>
        <w:tc>
          <w:tcPr>
            <w:tcW w:type="dxa" w:w="187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DOCX / PDF</w:t>
            </w:r>
          </w:p>
        </w:tc>
      </w:tr>
      <w:tr>
        <w:tc>
          <w:tcPr>
            <w:tcW w:type="dxa" w:w="39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3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Описание функциональной структуры (IDEF0 A0–A9)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Технический проект</w:t>
            </w:r>
          </w:p>
        </w:tc>
        <w:tc>
          <w:tcPr>
            <w:tcW w:type="dxa" w:w="187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DOCX / PNG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4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Диаграммы взаимодействия (Sequence Diagrams)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Технический проект</w:t>
            </w:r>
          </w:p>
        </w:tc>
        <w:tc>
          <w:tcPr>
            <w:tcW w:type="dxa" w:w="187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DOCX / PNG</w:t>
            </w:r>
          </w:p>
        </w:tc>
      </w:tr>
      <w:tr>
        <w:tc>
          <w:tcPr>
            <w:tcW w:type="dxa" w:w="39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5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Алгоритмы модулей (блок-схемы)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Рабочая документация</w:t>
            </w:r>
          </w:p>
        </w:tc>
        <w:tc>
          <w:tcPr>
            <w:tcW w:type="dxa" w:w="187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DOCX / PNG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6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Схема базы данных (ER-диаграмма)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Технический проект</w:t>
            </w:r>
          </w:p>
        </w:tc>
        <w:tc>
          <w:tcPr>
            <w:tcW w:type="dxa" w:w="187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PNG / PDF</w:t>
            </w:r>
          </w:p>
        </w:tc>
      </w:tr>
      <w:tr>
        <w:tc>
          <w:tcPr>
            <w:tcW w:type="dxa" w:w="39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7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Описание программы (ГОСТ 19.402-78)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Рабочая документация</w:t>
            </w:r>
          </w:p>
        </w:tc>
        <w:tc>
          <w:tcPr>
            <w:tcW w:type="dxa" w:w="187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DOCX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8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Руководство пользователя (ГОСТ 34.201-89)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Рабочая документация</w:t>
            </w:r>
          </w:p>
        </w:tc>
        <w:tc>
          <w:tcPr>
            <w:tcW w:type="dxa" w:w="187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DOCX / PDF</w:t>
            </w:r>
          </w:p>
        </w:tc>
      </w:tr>
      <w:tr>
        <w:tc>
          <w:tcPr>
            <w:tcW w:type="dxa" w:w="39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9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Руководство администратора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Рабочая документация</w:t>
            </w:r>
          </w:p>
        </w:tc>
        <w:tc>
          <w:tcPr>
            <w:tcW w:type="dxa" w:w="187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DOCX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10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Программа и методика испытаний (ГОСТ 34.603-92)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Испытания</w:t>
            </w:r>
          </w:p>
        </w:tc>
        <w:tc>
          <w:tcPr>
            <w:tcW w:type="dxa" w:w="187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DOCX</w:t>
            </w:r>
          </w:p>
        </w:tc>
      </w:tr>
      <w:tr>
        <w:tc>
          <w:tcPr>
            <w:tcW w:type="dxa" w:w="39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11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Протокол испытаний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Испытания</w:t>
            </w:r>
          </w:p>
        </w:tc>
        <w:tc>
          <w:tcPr>
            <w:tcW w:type="dxa" w:w="187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DOCX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12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Акт приёмо-сдаточных испытаний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Ввод в действие</w:t>
            </w:r>
          </w:p>
        </w:tc>
        <w:tc>
          <w:tcPr>
            <w:tcW w:type="dxa" w:w="187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DOCX</w:t>
            </w:r>
          </w:p>
        </w:tc>
      </w:tr>
      <w:tr>
        <w:tc>
          <w:tcPr>
            <w:tcW w:type="dxa" w:w="39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13</w:t>
            </w:r>
          </w:p>
        </w:tc>
        <w:tc>
          <w:tcPr>
            <w:tcW w:type="dxa" w:w="425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Исходный код с комментариями</w:t>
            </w:r>
          </w:p>
        </w:tc>
        <w:tc>
          <w:tcPr>
            <w:tcW w:type="dxa" w:w="2268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Все стадии</w:t>
            </w:r>
          </w:p>
        </w:tc>
        <w:tc>
          <w:tcPr>
            <w:tcW w:type="dxa" w:w="187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Git-репозиторий</w:t>
            </w:r>
          </w:p>
        </w:tc>
      </w:tr>
      <w:tr>
        <w:tc>
          <w:tcPr>
            <w:tcW w:type="dxa" w:w="39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14</w:t>
            </w:r>
          </w:p>
        </w:tc>
        <w:tc>
          <w:tcPr>
            <w:tcW w:type="dxa" w:w="425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Пояснительная записка к диссертации</w:t>
            </w:r>
          </w:p>
        </w:tc>
        <w:tc>
          <w:tcPr>
            <w:tcW w:type="dxa" w:w="2268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Оформление результатов</w:t>
            </w:r>
          </w:p>
        </w:tc>
        <w:tc>
          <w:tcPr>
            <w:tcW w:type="dxa" w:w="187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DOCX / PDF</w:t>
            </w:r>
          </w:p>
        </w:tc>
      </w:tr>
    </w:tbl>
    <w:p/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8.2 Требования к оформлению документации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Текстовые документы: ГОСТ Р 7.0.11-2011, шрифт Times New Roman 14 pt, межстрочный интервал 1,5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Поля: левое 30 мм, правое 15 мм, верхнее 20 мм, нижнее 20 мм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Нумерация разделов: трёхуровневая (1 / 1.1 / 1.1.1)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Рисунки и таблицы: нумерация в пределах раздела, подписи обязательны</w:t>
      </w:r>
    </w:p>
    <w:p>
      <w:pPr>
        <w:spacing w:after="60" w:lineRule="auto" w:line="360"/>
        <w:ind w:left="850" w:hanging="283"/>
      </w:pPr>
      <w:r>
        <w:rPr>
          <w:rFonts w:ascii="Times New Roman" w:hAnsi="Times New Roman" w:eastAsia="Times New Roman"/>
          <w:sz w:val="28"/>
        </w:rPr>
        <w:t>– Список литературы: ГОСТ Р 7.0.5-2008</w:t>
      </w:r>
    </w:p>
    <w:p>
      <w:r>
        <w:br w:type="page"/>
      </w:r>
    </w:p>
    <w:p>
      <w:pPr>
        <w:pStyle w:val="Heading1"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color w:val="003366"/>
          <w:sz w:val="32"/>
        </w:rPr>
        <w:t>9. ИСТОЧНИКИ РАЗРАБОТКИ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9.1 Нормативные документы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1.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2. ГОСТ 34.601-90. Автоматизированные системы. Стадии создания.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3. ГОСТ 34.003-90. Автоматизированные системы. Термины и определения.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4. ГОСТ Р 7.0.11-2011. Диссертация и автореферат диссертации. Структура и правила оформления.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5. Федеральный закон № 123-ФЗ от 22.07.2008 «Технический регламент о требованиях пожарной безопасности».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9.2 Научно-техническая литература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1. Fayyad U., Piatetsky-Shapiro G., Smyth P. From Data Mining to Knowledge Discovery in Databases // AI Magazine. — 1996. — Vol. 17, № 3. — P. 37–54.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2. Hastie T., Tibshirani R., Friedman J. The Elements of Statistical Learning. 2nd ed. — Springer, 2009. — 745 p.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3. Bergstra J., Bengio Y. Random Search for Hyper-Parameter Optimization // Journal of Machine Learning Research. — 2012. — Vol. 13. — P. 281–305.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4. McKinney W. Python for Data Analysis. 3rd ed. — O'Reilly, 2022. — 579 p.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5. Гришин С.В. Интеллектуальный анализ данных в задачах пожарной безопасности // Пожаровзрывобезопасность. — 2019. — Т. 28, № 4. — С. 12–24.</w:t>
      </w:r>
    </w:p>
    <w:p>
      <w:pPr>
        <w:spacing w:after="60" w:lineRule="auto" w:line="360"/>
        <w:ind w:left="850" w:hanging="567"/>
      </w:pPr>
      <w:r>
        <w:rPr>
          <w:rFonts w:ascii="Times New Roman" w:hAnsi="Times New Roman" w:eastAsia="Times New Roman"/>
          <w:sz w:val="28"/>
        </w:rPr>
        <w:t>6. Раков Д.Г. Геоинформационные системы в управлении пожарной охраной. — М.: АГПС МЧС России, 2021. — 210 с.</w:t>
      </w:r>
    </w:p>
    <w:p>
      <w:pPr>
        <w:pStyle w:val="Heading2"/>
        <w:spacing w:before="160" w:after="80"/>
        <w:ind w:firstLine="0"/>
        <w:jc w:val="left"/>
      </w:pPr>
      <w:r>
        <w:rPr>
          <w:rFonts w:ascii="Times New Roman" w:hAnsi="Times New Roman" w:eastAsia="Times New Roman"/>
          <w:b/>
          <w:color w:val="1F497D"/>
          <w:sz w:val="28"/>
        </w:rPr>
        <w:t>9.3 Прикладные программные решения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Компонент</w:t>
            </w:r>
          </w:p>
        </w:tc>
        <w:tc>
          <w:tcPr>
            <w:tcW w:type="dxa" w:w="1134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Версия</w:t>
            </w:r>
          </w:p>
        </w:tc>
        <w:tc>
          <w:tcPr>
            <w:tcW w:type="dxa" w:w="1984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Лицензия</w:t>
            </w:r>
          </w:p>
        </w:tc>
        <w:tc>
          <w:tcPr>
            <w:tcW w:type="dxa" w:w="3402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Источник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Python</w:t>
            </w:r>
          </w:p>
        </w:tc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3.10+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PSF License</w:t>
            </w:r>
          </w:p>
        </w:tc>
        <w:tc>
          <w:tcPr>
            <w:tcW w:type="dxa" w:w="340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python.org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FastAPI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0.111+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MIT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fastapi.tiangolo.com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SQLAlchemy</w:t>
            </w:r>
          </w:p>
        </w:tc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2.0+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MIT</w:t>
            </w:r>
          </w:p>
        </w:tc>
        <w:tc>
          <w:tcPr>
            <w:tcW w:type="dxa" w:w="340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sqlalchemy.org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PostgreSQL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15+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PostgreSQL License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postgresql.org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Redis</w:t>
            </w:r>
          </w:p>
        </w:tc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7.x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BSD 3-Clause</w:t>
            </w:r>
          </w:p>
        </w:tc>
        <w:tc>
          <w:tcPr>
            <w:tcW w:type="dxa" w:w="340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redis.io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pandas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2.x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BSD 3-Clause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pandas.pydata.org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scikit-learn</w:t>
            </w:r>
          </w:p>
        </w:tc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1.4+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BSD 3-Clause</w:t>
            </w:r>
          </w:p>
        </w:tc>
        <w:tc>
          <w:tcPr>
            <w:tcW w:type="dxa" w:w="340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scikit-learn.org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Plotly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5.x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MIT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plotly.com</w:t>
            </w:r>
          </w:p>
        </w:tc>
      </w:tr>
      <w:tr>
        <w:tc>
          <w:tcPr>
            <w:tcW w:type="dxa" w:w="170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Folium</w:t>
            </w:r>
          </w:p>
        </w:tc>
        <w:tc>
          <w:tcPr>
            <w:tcW w:type="dxa" w:w="113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0.16+</w:t>
            </w:r>
          </w:p>
        </w:tc>
        <w:tc>
          <w:tcPr>
            <w:tcW w:type="dxa" w:w="1984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MIT</w:t>
            </w:r>
          </w:p>
        </w:tc>
        <w:tc>
          <w:tcPr>
            <w:tcW w:type="dxa" w:w="340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python-visualization.github.io</w:t>
            </w:r>
          </w:p>
        </w:tc>
      </w:tr>
      <w:tr>
        <w:tc>
          <w:tcPr>
            <w:tcW w:type="dxa" w:w="170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Jinja2</w:t>
            </w:r>
          </w:p>
        </w:tc>
        <w:tc>
          <w:tcPr>
            <w:tcW w:type="dxa" w:w="113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3.x</w:t>
            </w:r>
          </w:p>
        </w:tc>
        <w:tc>
          <w:tcPr>
            <w:tcW w:type="dxa" w:w="1984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BSD 3-Clause</w:t>
            </w:r>
          </w:p>
        </w:tc>
        <w:tc>
          <w:tcPr>
            <w:tcW w:type="dxa" w:w="34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jinja.palletsprojects.com</w:t>
            </w:r>
          </w:p>
        </w:tc>
      </w:tr>
    </w:tbl>
    <w:p/>
    <w:p>
      <w:r>
        <w:br w:type="page"/>
      </w:r>
    </w:p>
    <w:p>
      <w:pPr>
        <w:pStyle w:val="Heading1"/>
        <w:spacing w:before="240" w:after="120"/>
        <w:ind w:firstLine="0"/>
        <w:jc w:val="left"/>
      </w:pPr>
      <w:r>
        <w:rPr>
          <w:rFonts w:ascii="Times New Roman" w:hAnsi="Times New Roman" w:eastAsia="Times New Roman"/>
          <w:b/>
          <w:color w:val="003366"/>
          <w:sz w:val="32"/>
        </w:rPr>
        <w:t>ЛИСТ СОГЛАСОВАНИЯ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3402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Должность / роль</w:t>
            </w:r>
          </w:p>
        </w:tc>
        <w:tc>
          <w:tcPr>
            <w:tcW w:type="dxa" w:w="2551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ФИО</w:t>
            </w:r>
          </w:p>
        </w:tc>
        <w:tc>
          <w:tcPr>
            <w:tcW w:type="dxa" w:w="1417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Подпись</w:t>
            </w:r>
          </w:p>
        </w:tc>
        <w:tc>
          <w:tcPr>
            <w:tcW w:type="dxa" w:w="1417"/>
            <w:vAlign w:val="center"/>
            <w:shd w:val="clear" w:color="auto" w:fill="1F497D"/>
            <w:tcBorders>
              <w:top w:val="single" w:sz="6" w:space="0" w:color="2E74B5"/>
              <w:left w:val="single" w:sz="6" w:space="0" w:color="2E74B5"/>
              <w:bottom w:val="single" w:sz="6" w:space="0" w:color="2E74B5"/>
              <w:right w:val="single" w:sz="6" w:space="0" w:color="2E74B5"/>
            </w:tcBorders>
          </w:tcPr>
          <w:p>
            <w:pPr>
              <w:spacing w:after="40" w:before="40"/>
              <w:jc w:val="center"/>
            </w:pPr>
            <w:r>
              <w:rPr>
                <w:rFonts w:ascii="Times New Roman" w:hAnsi="Times New Roman" w:eastAsia="Times New Roman"/>
                <w:b/>
                <w:color w:val="FFFFFF"/>
                <w:sz w:val="24"/>
              </w:rPr>
              <w:t>Дата</w:t>
            </w:r>
          </w:p>
        </w:tc>
      </w:tr>
      <w:tr>
        <w:tc>
          <w:tcPr>
            <w:tcW w:type="dxa" w:w="340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Разработчик (студент-магистрант)</w:t>
            </w:r>
          </w:p>
        </w:tc>
        <w:tc>
          <w:tcPr>
            <w:tcW w:type="dxa" w:w="255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41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____________</w:t>
            </w:r>
          </w:p>
        </w:tc>
        <w:tc>
          <w:tcPr>
            <w:tcW w:type="dxa" w:w="141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Научный руководитель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____________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________</w:t>
            </w:r>
          </w:p>
        </w:tc>
      </w:tr>
      <w:tr>
        <w:tc>
          <w:tcPr>
            <w:tcW w:type="dxa" w:w="3402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Заведующий кафедрой</w:t>
            </w:r>
          </w:p>
        </w:tc>
        <w:tc>
          <w:tcPr>
            <w:tcW w:type="dxa" w:w="2551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41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____________</w:t>
            </w:r>
          </w:p>
        </w:tc>
        <w:tc>
          <w:tcPr>
            <w:tcW w:type="dxa" w:w="1417"/>
            <w:vAlign w:val="center"/>
            <w:shd w:val="clear" w:color="auto" w:fill="EBF3FB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________</w:t>
            </w:r>
          </w:p>
        </w:tc>
      </w:tr>
      <w:tr>
        <w:tc>
          <w:tcPr>
            <w:tcW w:type="dxa" w:w="3402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Нормоконтролёр</w:t>
            </w:r>
          </w:p>
        </w:tc>
        <w:tc>
          <w:tcPr>
            <w:tcW w:type="dxa" w:w="2551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____________</w:t>
            </w:r>
          </w:p>
        </w:tc>
        <w:tc>
          <w:tcPr>
            <w:tcW w:type="dxa" w:w="1417"/>
            <w:vAlign w:val="center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after="40" w:before="40"/>
            </w:pPr>
            <w:r>
              <w:rPr>
                <w:rFonts w:ascii="Times New Roman" w:hAnsi="Times New Roman" w:eastAsia="Times New Roman"/>
                <w:sz w:val="24"/>
              </w:rPr>
              <w:t>________</w:t>
            </w:r>
          </w:p>
        </w:tc>
      </w:tr>
    </w:tbl>
    <w:p/>
    <w:p/>
    <w:p>
      <w:pPr>
        <w:jc w:val="center"/>
      </w:pPr>
      <w:r>
        <w:rPr>
          <w:rFonts w:ascii="Times New Roman" w:hAnsi="Times New Roman" w:eastAsia="Times New Roman"/>
          <w:i/>
          <w:sz w:val="20"/>
        </w:rPr>
        <w:t>Документ разработан в соответствии с ГОСТ 34.602-89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6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