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1F497D"/>
          <w:sz w:val="44"/>
        </w:rPr>
        <w:t>Fire Data Pipeline</w:t>
        <w:br/>
        <w:t>Диаграмма последовательности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Sequence Diagram  |  UML 2.5  |  Пользователь ↔ Система</w:t>
      </w:r>
    </w:p>
    <w:p>
      <w:pPr>
        <w:jc w:val="center"/>
      </w:pPr>
      <w:r>
        <w:rPr>
          <w:rFonts w:ascii="Arial" w:hAnsi="Arial"/>
          <w:i/>
          <w:sz w:val="20"/>
        </w:rPr>
        <w:t>Версия 1.0 | Апрель 2026</w:t>
      </w:r>
    </w:p>
    <w:p/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Диаграмма показывает полный цикл взаимодействия Пользователя с системой: от загрузки файла до получения аналитического дашборда. Участники: FastAPI, A1 ETL, A2 ML / A3 Кластеры, A4–A6 Прогноз+Риск+Доступность, A7 Карта, A9 Дашборд, A8 Кэш, PostgreSQL.</w:t>
      </w:r>
    </w:p>
    <w:p/>
    <w:p>
      <w:pPr>
        <w:pStyle w:val="Heading1"/>
      </w:pPr>
      <w:r>
        <w:rPr>
          <w:rFonts w:ascii="Arial" w:hAnsi="Arial"/>
          <w:b/>
          <w:color w:val="1F497D"/>
          <w:sz w:val="32"/>
        </w:rPr>
        <w:t>1. Диаграмма последовательности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891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Arial" w:hAnsi="Arial"/>
          <w:b w:val="0"/>
          <w:i/>
          <w:sz w:val="18"/>
        </w:rPr>
        <w:t>Рис. 1 — Sequence Diagram. Время идёт сверху вниз. Сплошные стрелки — запросы, пунктирные — ответы.</w:t>
      </w:r>
    </w:p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2. Участники (Lifelines)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Участник</w:t>
            </w:r>
          </w:p>
        </w:tc>
        <w:tc>
          <w:tcPr>
            <w:tcW w:type="dxa" w:w="311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4706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Ключевые компоненты</w:t>
            </w:r>
          </w:p>
        </w:tc>
      </w:tr>
      <w:tr>
        <w:tc>
          <w:tcPr>
            <w:tcW w:type="dxa" w:w="181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Пользователь</w:t>
            </w:r>
          </w:p>
        </w:tc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Инициатор всех запросов через браузер</w:t>
            </w:r>
          </w:p>
        </w:tc>
        <w:tc>
          <w:tcPr>
            <w:tcW w:type="dxa" w:w="470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Браузер / HTTP-клиент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FastAPI (веб-слой)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Маршрутизация запросов, запуск фоновых задач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app/main.py, роутеры /api/*</w:t>
            </w:r>
          </w:p>
        </w:tc>
      </w:tr>
      <w:tr>
        <w:tc>
          <w:tcPr>
            <w:tcW w:type="dxa" w:w="181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A1 ETL / Импорт</w:t>
            </w:r>
          </w:p>
        </w:tc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Загрузка, профилирование, создание clean_* таблицы</w:t>
            </w:r>
          </w:p>
        </w:tc>
        <w:tc>
          <w:tcPr>
            <w:tcW w:type="dxa" w:w="470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pipeline_service.py, ImportDataStep, FiresFeatureProfilingStep, CreateCleanTableStep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A2 ML / A3 Кластеры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Обучение моделей, бэктест, кластеризация территорий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ml_model/core.py, training/*.py, clustering/core_runner.py</w:t>
            </w:r>
          </w:p>
        </w:tc>
      </w:tr>
      <w:tr>
        <w:tc>
          <w:tcPr>
            <w:tcW w:type="dxa" w:w="181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A4 Прогноз / A5 Риск / A6 Доступность</w:t>
            </w:r>
          </w:p>
        </w:tc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Сценарный прогноз → оценка риска → анализ доступности ПЧ (последовательная цепочка)</w:t>
            </w:r>
          </w:p>
        </w:tc>
        <w:tc>
          <w:tcPr>
            <w:tcW w:type="dxa" w:w="470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forecasting/assembly.py, forecast_risk/core.py, access_points/core.py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A7 Карта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Генерация интерактивной карты (OpenLayers)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MapCreator, analytics_hotspots.py, build_analytics_layer_geojsons</w:t>
            </w:r>
          </w:p>
        </w:tc>
      </w:tr>
      <w:tr>
        <w:tc>
          <w:tcPr>
            <w:tcW w:type="dxa" w:w="181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A9 Дашборд</w:t>
            </w:r>
          </w:p>
        </w:tc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Агрегация KPI, GROUPING SETS SQL, Plotly-графики</w:t>
            </w:r>
          </w:p>
        </w:tc>
        <w:tc>
          <w:tcPr>
            <w:tcW w:type="dxa" w:w="470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dashboard/service.py, impact_fire_metrics.py, charts.py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A8 Кэш / JobStore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TTL/LRU кэши, управление состоянием задач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cache.py (CopyingTtlCache/LruCache), state.py (JobStore)</w:t>
            </w:r>
          </w:p>
        </w:tc>
      </w:tr>
      <w:tr>
        <w:tc>
          <w:tcPr>
            <w:tcW w:type="dxa" w:w="181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PostgreSQL</w:t>
            </w:r>
          </w:p>
        </w:tc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Хранилище данных: сырые + clean_* таблицы + отчёты</w:t>
            </w:r>
          </w:p>
        </w:tc>
        <w:tc>
          <w:tcPr>
            <w:tcW w:type="dxa" w:w="470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SQLAlchemy engine, pandas to_sql/read_sql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3. Описание фаз и сообщений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Фаза 1 — Загрузка и ETL  [A1]  |  UC-01..UC-04</w:t>
      </w:r>
    </w:p>
    <w:p>
      <w:pPr>
        <w:ind w:left="340"/>
        <w:shd w:val="clear" w:color="auto" w:fill="E8F4E8"/>
        <w:pBdr>
          <w:left w:val="single" w:sz="18" w:space="4" w:color="378630"/>
        </w:pBdr>
      </w:pPr>
      <w:r>
        <w:rPr>
          <w:rFonts w:ascii="Arial" w:hAnsi="Arial"/>
          <w:i/>
          <w:sz w:val="20"/>
        </w:rPr>
        <w:t>Пользователь загружает файл, импортирует данные в PostgreSQL, профилирует признаки и создаёт очищенную таблицу. После каждого изменения данных A8 инвалидирует все кэши.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Сообщение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От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362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/api/upload-data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362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Загрузка файла (multipart). Параметры: file, project_name, session_id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save_uploaded_file()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_build_upload_file_path → shutil.copyfileobj → файл в UPLOAD_FOLDER/session/job_id/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write file to disk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запись</w:t>
            </w:r>
          </w:p>
        </w:tc>
        <w:tc>
          <w:tcPr>
            <w:tcW w:type="dxa" w:w="362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Физический файл сохранён. JobStore.create_job(pending)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{job_id, status: saved}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Синхронный ответ. Файл готов к импорту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/api/import-data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362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Запуск импорта. Параметры: table_name, encoding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ImportDataStep.run()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read_excel/read_csv → to_sql(project_name, if_exists=replace)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to_sql(project_name)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DDL/DML</w:t>
            </w:r>
          </w:p>
        </w:tc>
        <w:tc>
          <w:tcPr>
            <w:tcW w:type="dxa" w:w="362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pandas.to_sql с SQLAlchemy engine.begin(). Таблица project_name создана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invalidate_runtime_caches()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каскад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Сброс: db_metadata → dashboard → ml → forecasting → clustering → fire_map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/api/profiling-data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362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Запуск профилирования признаков таблицы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FiresFeatureProfilingStep.run()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null_rate &gt; 0.9 | dominant &gt; 0.85 | variance &lt; 0.0001 → drop_reasons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{profiling_report}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</w:t>
            </w:r>
          </w:p>
        </w:tc>
        <w:tc>
          <w:tcPr>
            <w:tcW w:type="dxa" w:w="362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kept_columns, removed_columns, drop_reasons. Файлы XLSX/CSV записаны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/api/create-clean-table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Создание очищенной таблицы. keep_columns — список сохраняемых столбцов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CREATE TABLE clean_*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DDL</w:t>
            </w:r>
          </w:p>
        </w:tc>
        <w:tc>
          <w:tcPr>
            <w:tcW w:type="dxa" w:w="362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CREATE TABLE clean_&lt;name&gt; AS SELECT kept_cols FROM project_name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invalidate_runtime_caches()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каскад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Повторная инвалидация. Все downstream сервисы сбрасывают кэши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Фаза 2 — Машинное обучение и кластеризация  [A2, A3]  |  UC-05..UC-10</w:t>
      </w:r>
    </w:p>
    <w:p>
      <w:pPr>
        <w:ind w:left="340"/>
        <w:shd w:val="clear" w:color="auto" w:fill="FFF4E5"/>
        <w:pBdr>
          <w:left w:val="single" w:sz="18" w:space="4" w:color="C07000"/>
        </w:pBdr>
      </w:pPr>
      <w:r>
        <w:rPr>
          <w:rFonts w:ascii="Arial" w:hAnsi="Arial"/>
          <w:i/>
          <w:sz w:val="20"/>
        </w:rPr>
        <w:t>ML-задача запускается асинхронно (ThreadPoolExecutor). Пользователь получает job_id и опрашивает статус (polling). Кластеризация выполняется синхронно и кэшируется (TTL=120 с).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Сообщение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От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113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94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/api/ml-model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Параметры: table, horizon, cause, history_window, temperature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JobStore.create_job → {job_id}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Создание записи задачи. status=pending. Возврат job_id пользователю немедленно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{job_id, status: pending}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 (async)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Асинхронный старт. ML считается в фоне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_run_ml_pipeline()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фоновый поток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ThreadPoolExecutor.submit(_run_ml_pipeline, filters)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 daily_history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SQL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_build_daily_history_sql(): date, count, avg_temperature с TTL-кэшем 120 с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feature engineering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lag_1/7/14, rolling_7/28, weekday, month, temp_value, trend_gap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rolling-origin backtest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8–45 окон. Метрики: MAE, RMSE, sMAPE, Poisson deviance. Выбор метода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fit final model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Poisson (alpha=0.4) | NegBin (var/mean≥1.35) | Logistic. Калибровка интервалов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CopyingLruCache.set(ml_payload)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кэш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Сохранение в LRU-кэш. max_size=128. Ключ = hash(table+cause+horizon+...)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/api/job-status?job_id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polling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опрашивает статус. Повторять до completed/failed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{status: completed, ml_payload}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ML-результат: summary, quality_assessment, forecast_rows, feature_importance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/api/clustering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Параметры: table, k (или auto), algorithm, feature_columns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_load_territory_dataset()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 Кластеры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Агрегация по территориям: frequency, area, damage, categories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 territory data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 Кластеры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SQL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 territory, count(*), sum(area), sum(damage) FROM clean_* GROUP BY territory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Weighted KMeans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 Кластеры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 Кластеры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weights=log1p(incident_count). Auto k: quality_score = f(silhouette, DB, balance)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CopyingTtlCache.set(cluster_payload)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A3 Кластеры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кэш TTL=120с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cluster_profiles, centroid_rows, pca_projection, quality_metrics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{cluster_profiles, quality_metrics}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Метки кластеров, профили, силуэт/DB/CH, PCA-проекция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Фаза 3 — Прогноз, риск, доступность  [A4→A5→A6]  |  UC-11..UC-16</w:t>
      </w:r>
    </w:p>
    <w:p>
      <w:pPr>
        <w:ind w:left="340"/>
        <w:shd w:val="clear" w:color="auto" w:fill="F5E8FF"/>
        <w:pBdr>
          <w:left w:val="single" w:sz="18" w:space="4" w:color="7030A0"/>
        </w:pBdr>
      </w:pPr>
      <w:r>
        <w:rPr>
          <w:rFonts w:ascii="Arial" w:hAnsi="Arial"/>
          <w:i/>
          <w:sz w:val="20"/>
        </w:rPr>
        <w:t>Ключевое отличие v2: A4 формирует forecast_context и передаёт его в A5 как входные данные. A5 в свою очередь передаёт risk_context в A6. Нет обратных вызовов.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Сообщение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От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113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94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/api/forecasting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Параметры: table, horizon, district, cause, history_window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_resolve_forecasting_selection()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Выбор source_tables; нормализация фильтров (_canonicalize_source_tables)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_build_daily_history_sql()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SQL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UNION fast-path + densification (без пропусков дат). TTL-кэш 120 с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daily_history (dense)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результат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DataFrame: date, count, avg_temperature — плотный ряд без пропусков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build forecast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value = base × seasonal_coef[weekday] × seasonal_coef[month] × trend_ratio × temp_effect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build bounds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spread = max(0.75, volatility × (0.9 + 0.15 × √step))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build forecast_context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{territory_forecasts, planning_horizon_days} — передаётся в A5 как вход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A5: grid geo-risk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A4→A5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A4→A5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cell_key=(floor(lat/size), floor(lon/size)). recency_weight=max(0.2,1-age/GEO_LOOKBACK)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 territory history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A4→A5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SQL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История пожаров для расчёта history_pressure и seasonal_alignment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Σ(weight_i × component_i)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risk_score по профилю: adaptive | expert | calibratable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sort → risk_context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Ранжирование по risk_score DESC. risk_context передаётся в A6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 access_points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A5→A6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SQL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address, distance_to_station, water_supply, incident_history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fallback id-chain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адрес → объект → координаты → поселение → территория → район → unknown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weighted score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score=Σ(weight×factor×support_weight). penalty=6×uncertainty_factor. max=100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 cache: все payloads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A4/A5/A6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кэш TTL=120с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forecast_payload + risk_payload + access_payload сохранены вместе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{forecast, risk_ranking, top_n}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Дневной прогноз + рейтинг территорий + TOP-N проблемных объектов ПЧ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Фаза 4 — Интерактивная карта  [A7, A8]  |  UC-17..UC-19</w:t>
      </w:r>
    </w:p>
    <w:p>
      <w:pPr>
        <w:ind w:left="340"/>
        <w:shd w:val="clear" w:color="auto" w:fill="E5F0FF"/>
        <w:pBdr>
          <w:left w:val="single" w:sz="18" w:space="4" w:color="1F497D"/>
        </w:pBdr>
      </w:pPr>
      <w:r>
        <w:rPr>
          <w:rFonts w:ascii="Arial" w:hAnsi="Arial"/>
          <w:i/>
          <w:sz w:val="20"/>
        </w:rPr>
        <w:t>Карта кэшируется (TTL=300 с). При cache miss A7 собирает данные из A8-кэша (cluster_payload от A3, risk_payload от A5, access_payload от A6) — без повторных вычислений.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Сообщение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От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113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94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/fire-map/embed?table=...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Запрос HTML карты. table_name нормализуется (strip)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CopyingTtlCache.get(fire_map_key)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проверка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TTL=300 с. Ключ = normalized(table_name)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[cache HIT] → fires_map.html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кэш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Мгновенный возврат. Генерация не нужна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[cache MISS] → MapCreator.generate()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Полная генерация карты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cluster/risk/access payloads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чтение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CopyingTtlCache.get() для каждого payload. Без обращения к БД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build GeoJSON layers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incidents, heatmap(KDE r=20), clusters(A3), risk_zones(A5), access_points(A6)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generate fires_map.html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OpenLayers/OSM HTML. Hotspot DBSCAN: eps=percentile70(knn)*1.15, min_samples≥4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CopyingTtlCache.set(fires_map.html)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кэш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Сохранение HTML. TTL=300 с. Второй кэш: _FIRE_MAP_BRIEF_CACHE (executive_brief)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fires_map.html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Полный OpenLayers HTML-документ с встроенным JS и GeoJSON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Фаза 5 — Аналитический дашборд  [A9, A8]  |  UC-22..UC-28</w:t>
      </w:r>
    </w:p>
    <w:p>
      <w:pPr>
        <w:ind w:left="340"/>
        <w:shd w:val="clear" w:color="auto" w:fill="FFE8E8"/>
        <w:pBdr>
          <w:left w:val="single" w:sz="18" w:space="4" w:color="C00000"/>
        </w:pBdr>
      </w:pPr>
      <w:r>
        <w:rPr>
          <w:rFonts w:ascii="Arial" w:hAnsi="Arial"/>
          <w:i/>
          <w:sz w:val="20"/>
        </w:rPr>
        <w:t>Дашборд использует GROUPING SETS SQL (один запрос вместо 5+). Кэш metadata TTL=300 с, кэш данных TTL=120 с. При cache HIT ответ возвращается за &lt;100 мс без SQL.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Сообщение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От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113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94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/api/dashboard?table&amp;year&amp;group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запрос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Параметры: table_name, year, group_column (причина/район/категория)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_collect_dashboard_metadata_cached()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TTL=300с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DashboardMetadata: table_signature, options, available_years, default_group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[cache MISS] → SQL GROUPING SETS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вызов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_collect_dashboard_grouped_counts()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 BY GROUPING SETS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SQL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SELECT cause, district, month, area_bucket, count(*) … GROUP BY GROUPING SETS ((cause),(district),(month),())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grouped_counts_bundle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результат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 запрос = 5+ агрегатов в памяти. Экономия: N-1 round-trips к БД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_build_dashboard_widgets()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Ветвление: _is_damage_group → damage branch; иначе standard. top-N limits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_build_combined_impact_timeline_chart()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↺ self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Plotly JSON: deaths, injuries, evacuated, evacuated_children по дате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ML/forecast/cluster payloads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чтение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CopyingTtlCache.get() для ml_payload, forecast_payload, cluster_payload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CopyingTtlCache.set(dashboard_payload)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113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 кэш</w:t>
            </w:r>
          </w:p>
        </w:tc>
        <w:tc>
          <w:tcPr>
            <w:tcW w:type="dxa" w:w="294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TTL=120 с. Ключ включает table_signature; при изменении таблицы — инвалидация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{KPI, timeline, distributions, management_brief}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← ответ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KPI-карточки + Plotly-графики + executive brief + damage table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4. Ключевые архитектурные решения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Где</w:t>
            </w:r>
          </w:p>
        </w:tc>
        <w:tc>
          <w:tcPr>
            <w:tcW w:type="dxa" w:w="45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Эффект</w:t>
            </w:r>
          </w:p>
        </w:tc>
      </w:tr>
      <w:tr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Async ML</w:t>
            </w:r>
            <w:r>
              <w:rPr>
                <w:rFonts w:ascii="Arial" w:hAnsi="Arial"/>
                <w:b w:val="0"/>
                <w:sz w:val="18"/>
              </w:rPr>
              <w:t xml:space="preserve"> (ThreadPoolExecutor + JobStore polling)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A2 ML, A8 Кэш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 не блокирует HTTP-поток. Пользователь опрашивает статус через job_id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Каскадная инвалидация</w:t>
            </w:r>
            <w:r>
              <w:rPr>
                <w:rFonts w:ascii="Arial" w:hAnsi="Arial"/>
                <w:b w:val="0"/>
                <w:sz w:val="18"/>
              </w:rPr>
              <w:t xml:space="preserve"> (A1 → A8 → все сервисы)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A1 ETL, A8 Кэш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После нового импорта все downstream кэши сбрасываются автоматически</w:t>
            </w:r>
          </w:p>
        </w:tc>
      </w:tr>
      <w:tr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forecast_context</w:t>
            </w:r>
            <w:r>
              <w:rPr>
                <w:rFonts w:ascii="Arial" w:hAnsi="Arial"/>
                <w:b w:val="0"/>
                <w:sz w:val="18"/>
              </w:rPr>
              <w:t xml:space="preserve"> (A4 → A5 без обратного вызова)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A4 Прогноз, A5 Риск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Устранён feedback loop. A5 выполняется после A4, получает данные как вход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risk_context</w:t>
            </w:r>
            <w:r>
              <w:rPr>
                <w:rFonts w:ascii="Arial" w:hAnsi="Arial"/>
                <w:b w:val="0"/>
                <w:sz w:val="18"/>
              </w:rPr>
              <w:t xml:space="preserve"> (A5 → A6)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 Риск, A6 Доступность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Приоритизация объектов доступности на основе территориального риска</w:t>
            </w:r>
          </w:p>
        </w:tc>
      </w:tr>
      <w:tr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Карта из кэша</w:t>
            </w:r>
            <w:r>
              <w:rPr>
                <w:rFonts w:ascii="Arial" w:hAnsi="Arial"/>
                <w:b w:val="0"/>
                <w:sz w:val="18"/>
              </w:rPr>
              <w:t xml:space="preserve"> (A7 читает A3/A5/A6 payloads)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Карта, A8 Кэш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Нет повторных SQL при генерации карты. Все данные уже в RAM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GROUPING SETS</w:t>
            </w:r>
            <w:r>
              <w:rPr>
                <w:rFonts w:ascii="Arial" w:hAnsi="Arial"/>
                <w:b w:val="0"/>
                <w:sz w:val="18"/>
              </w:rPr>
              <w:t xml:space="preserve"> (1 SQL вместо 5+)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A9 Дашборд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Единый round-trip к БД. Все виджеты нарезают данные из RAM-бандла</w:t>
            </w:r>
          </w:p>
        </w:tc>
      </w:tr>
      <w:tr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Dual TTL cache</w:t>
            </w:r>
            <w:r>
              <w:rPr>
                <w:rFonts w:ascii="Arial" w:hAnsi="Arial"/>
                <w:b w:val="0"/>
                <w:sz w:val="18"/>
              </w:rPr>
              <w:t xml:space="preserve"> (meta=300с, data=120с)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Кэш, A9 Дашборд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Метаданные обновляются реже. Данные дашборда сбрасываются при изменении подписи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CopyingTtlCache</w:t>
            </w:r>
            <w:r>
              <w:rPr>
                <w:rFonts w:ascii="Arial" w:hAnsi="Arial"/>
                <w:b w:val="0"/>
                <w:sz w:val="18"/>
              </w:rPr>
              <w:t xml:space="preserve"> (freeze on write, clone on read)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A8 Кэш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Thread-safe без блокировки на чтение. Immutable payload в кэше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jc w:val="center"/>
      </w:pPr>
      <w:r>
        <w:rPr>
          <w:rFonts w:ascii="Arial" w:hAnsi="Arial"/>
          <w:i/>
          <w:color w:val="808080"/>
          <w:sz w:val="17"/>
        </w:rPr>
        <w:t>Fire Data Pipeline — Sequence Diagram  |  v1.0  |  Апрель 2026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