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b/>
          <w:color w:val="1F497D"/>
          <w:sz w:val="44"/>
        </w:rPr>
        <w:t>Fire Data Pipeline</w:t>
        <w:br/>
        <w:t>Диаграмма вариантов использования</w:t>
      </w:r>
    </w:p>
    <w:p>
      <w:pPr>
        <w:jc w:val="center"/>
      </w:pPr>
      <w:r>
        <w:rPr>
          <w:rFonts w:ascii="Arial" w:hAnsi="Arial"/>
          <w:i/>
          <w:color w:val="555555"/>
          <w:sz w:val="22"/>
        </w:rPr>
        <w:t>Use Case Diagram  |  UML 2.5  |  Актор: Пользователь</w:t>
      </w:r>
    </w:p>
    <w:p>
      <w:pPr>
        <w:jc w:val="center"/>
      </w:pPr>
      <w:r>
        <w:rPr>
          <w:rFonts w:ascii="Arial" w:hAnsi="Arial"/>
          <w:i/>
          <w:sz w:val="20"/>
        </w:rPr>
        <w:t>Версия 1.1 | Апрель 2026</w:t>
      </w:r>
    </w:p>
    <w:p/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Система имеет единственного внешнего актора — Пользователь. Он инициирует все 28 вариантов использования: от загрузки данных до просмотра дашборда и экспорта отчётов. Внутренние блоки A1–A9 связаны между собой через «include» и «extend».</w:t>
      </w:r>
    </w:p>
    <w:p/>
    <w:p>
      <w:pPr>
        <w:pStyle w:val="Heading1"/>
      </w:pPr>
      <w:r>
        <w:rPr>
          <w:rFonts w:ascii="Arial" w:hAnsi="Arial"/>
          <w:b/>
          <w:color w:val="1F497D"/>
          <w:sz w:val="32"/>
        </w:rPr>
        <w:t>1. Диаграмма вариантов использования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99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992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2. Актор системы</w:t>
      </w:r>
    </w:p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Единственный актор — Пользователь — взаимодействует с системой через веб-интерфейс FastAPI. Он выполняет все операции: загрузку данных, настройку анализа, просмотр результатов и экспорт отчётов.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Актор</w:t>
            </w:r>
          </w:p>
        </w:tc>
        <w:tc>
          <w:tcPr>
            <w:tcW w:type="dxa" w:w="5102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Описание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Канал взаимодействия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Пользователь</w:t>
            </w:r>
          </w:p>
        </w:tc>
        <w:tc>
          <w:tcPr>
            <w:tcW w:type="dxa" w:w="5102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Аналитик / специалист по пожарной безопасности / руководитель — любой человек, работающий с системой через браузер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HTTP (FastAPI REST API + веб-интерфейс)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3. Варианты использования</w:t>
      </w:r>
    </w:p>
    <w:p>
      <w:pPr>
        <w:pStyle w:val="Heading2"/>
      </w:pPr>
      <w:r>
        <w:rPr>
          <w:rFonts w:ascii="Arial" w:hAnsi="Arial"/>
          <w:b/>
          <w:color w:val="2E74B5"/>
          <w:sz w:val="26"/>
        </w:rPr>
        <w:t>A1 — Импорт и ETL данных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UC</w:t>
            </w:r>
          </w:p>
        </w:tc>
        <w:tc>
          <w:tcPr>
            <w:tcW w:type="dxa" w:w="198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Название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272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Основной поток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79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UC-01</w:t>
            </w:r>
          </w:p>
        </w:tc>
        <w:tc>
          <w:tcPr>
            <w:tcW w:type="dxa" w:w="198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Загрузить файл данных</w:t>
              <w:br/>
              <w:t>(XLS / XLSX / CSV)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272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 выбирает файл → POST /api/upload-data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Файл сохранён; запись в JobStore создана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Импортировать данные в PostgreSQL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UC-01 выполнен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/api/import-data → pandas to_sql → таблица project_name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Сырая таблица в БД; промежуточный CSV</w:t>
            </w:r>
          </w:p>
        </w:tc>
      </w:tr>
      <w:tr>
        <w:tc>
          <w:tcPr>
            <w:tcW w:type="dxa" w:w="79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UC-03</w:t>
            </w:r>
          </w:p>
        </w:tc>
        <w:tc>
          <w:tcPr>
            <w:tcW w:type="dxa" w:w="198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Профилировать признаки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UC-02 выполнен</w:t>
            </w:r>
          </w:p>
        </w:tc>
        <w:tc>
          <w:tcPr>
            <w:tcW w:type="dxa" w:w="272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/api/profiling-data → анализ null/константность/дисперсия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Отчёт: drop_reasons, kept/removed columns, XLSX/CSV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Создать очищенную таблицу (clean_*)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UC-03 выполнен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/api/create-clean-table → DDL: CREATE TABLE clean_&lt;name&gt; AS SELECT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Таблица clean_* в БД; все кэши инвалидированы (A8.3)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A2 — Машинное обучение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UC</w:t>
            </w:r>
          </w:p>
        </w:tc>
        <w:tc>
          <w:tcPr>
            <w:tcW w:type="dxa" w:w="198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Название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272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Основной поток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79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UC-05</w:t>
            </w:r>
          </w:p>
        </w:tc>
        <w:tc>
          <w:tcPr>
            <w:tcW w:type="dxa" w:w="198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Обучить ML-модель</w:t>
              <w:br/>
              <w:t>(Poisson / NegBin / Logistic)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</w:t>
            </w:r>
          </w:p>
        </w:tc>
        <w:tc>
          <w:tcPr>
            <w:tcW w:type="dxa" w:w="272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/api/ml-model → инженерия признаков → обучение → LRU-кэш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Модель; артефакты в кэше (limit=128)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Провести rolling-origin бэктест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UC-05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Автоматически в рамках UC-05; 8–45 окон; метод выбирается по Poisson deviance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MAE, RMSE, sMAPE, Poisson deviance, ROC-AUC</w:t>
            </w:r>
          </w:p>
        </w:tc>
      </w:tr>
      <w:tr>
        <w:tc>
          <w:tcPr>
            <w:tcW w:type="dxa" w:w="79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UC-07</w:t>
            </w:r>
          </w:p>
        </w:tc>
        <w:tc>
          <w:tcPr>
            <w:tcW w:type="dxa" w:w="198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Получить ML-прогноз (N дней)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UC-05</w:t>
            </w:r>
          </w:p>
        </w:tc>
        <w:tc>
          <w:tcPr>
            <w:tcW w:type="dxa" w:w="272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/api/ml-model → из кэша или пересчёт → point + lower/upper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Прогноз N дней + feature_importance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Оценить качество модели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UC-06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Просмотр сводки quality_assessment в UI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Карточки метрик + выбранный метод + причина выбора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A3 — Пространственная кластеризация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UC</w:t>
            </w:r>
          </w:p>
        </w:tc>
        <w:tc>
          <w:tcPr>
            <w:tcW w:type="dxa" w:w="21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Название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272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Основной поток</w:t>
            </w:r>
          </w:p>
        </w:tc>
        <w:tc>
          <w:tcPr>
            <w:tcW w:type="dxa" w:w="238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79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UC-09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Кластеризовать территории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</w:t>
            </w:r>
          </w:p>
        </w:tc>
        <w:tc>
          <w:tcPr>
            <w:tcW w:type="dxa" w:w="272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/api/clustering → Weighted KMeans → метки по территориям</w:t>
            </w:r>
          </w:p>
        </w:tc>
        <w:tc>
          <w:tcPr>
            <w:tcW w:type="dxa" w:w="238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Кластеры, профили, силуэт/DB/CH, PCA-проекция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UC-10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Настроить параметры кластеризации</w:t>
              <w:br/>
              <w:t>(k, алгоритм, признаки)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UC-09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 меняет k / алгоритм → перезапуск UC-09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Диагностика по k; рекомендация оптимального k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A4 — Сценарный прогноз активности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UC</w:t>
            </w:r>
          </w:p>
        </w:tc>
        <w:tc>
          <w:tcPr>
            <w:tcW w:type="dxa" w:w="21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Название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272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Основной поток</w:t>
            </w:r>
          </w:p>
        </w:tc>
        <w:tc>
          <w:tcPr>
            <w:tcW w:type="dxa" w:w="238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79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UC-11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Построить сценарный прогноз</w:t>
              <w:br/>
              <w:t>(baseline / оптимист / пессимист)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 + UC-09 (кластеры)</w:t>
            </w:r>
          </w:p>
        </w:tc>
        <w:tc>
          <w:tcPr>
            <w:tcW w:type="dxa" w:w="272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POST /api/forecasting → сезонность × тренд × температура → forecast_context передаётся в A5</w:t>
            </w:r>
          </w:p>
        </w:tc>
        <w:tc>
          <w:tcPr>
            <w:tcW w:type="dxa" w:w="238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Дневной прогноз + bounds + forecast_context для A5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UC-12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Выбрать горизонт и фильтры прогноза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 задаёт horizon / district / cause → перезапуск UC-11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Настроенный запрос; option_catalog (районы, причины)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A5 — Оценка территориального риска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UC</w:t>
            </w:r>
          </w:p>
        </w:tc>
        <w:tc>
          <w:tcPr>
            <w:tcW w:type="dxa" w:w="21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Название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272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Основной поток</w:t>
            </w:r>
          </w:p>
        </w:tc>
        <w:tc>
          <w:tcPr>
            <w:tcW w:type="dxa" w:w="238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79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UC-13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Оценить территориальный пожарный риск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UC-11 (forecast_context)</w:t>
            </w:r>
          </w:p>
        </w:tc>
        <w:tc>
          <w:tcPr>
            <w:tcW w:type="dxa" w:w="272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/api/forecast-risk → grid geo-risk → Σ(weight × component) → risk_context → A6; geo_prediction → A7</w:t>
            </w:r>
          </w:p>
        </w:tc>
        <w:tc>
          <w:tcPr>
            <w:tcW w:type="dxa" w:w="238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Рейтинг территорий; компоненты риска; гео-горячие точки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UC-14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Выбрать профиль весов риска</w:t>
              <w:br/>
              <w:t>(adaptive / expert / calibratable)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UC-13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 меняет weight_mode → перерасчёт UC-13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Обновлённый рейтинг; сравнение профилей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A6 — Анализ доступности ПЧ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UC</w:t>
            </w:r>
          </w:p>
        </w:tc>
        <w:tc>
          <w:tcPr>
            <w:tcW w:type="dxa" w:w="21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Название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272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Основной поток</w:t>
            </w:r>
          </w:p>
        </w:tc>
        <w:tc>
          <w:tcPr>
            <w:tcW w:type="dxa" w:w="238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79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UC-15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Анализировать доступность</w:t>
              <w:br/>
              <w:t>пожарных подразделений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 + UC-13 (risk_context)</w:t>
            </w:r>
          </w:p>
        </w:tc>
        <w:tc>
          <w:tcPr>
            <w:tcW w:type="dxa" w:w="272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/api/access-points → fallback id-chain → weighted score (94 + 6 штраф)</w:t>
            </w:r>
          </w:p>
        </w:tc>
        <w:tc>
          <w:tcPr>
            <w:tcW w:type="dxa" w:w="238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Баллы доступности; severity zones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UC-16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Получить TOP-N проблемных объектов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UC-15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Просмотр ранжированного списка в UI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TOP-N с причинами, рекомендациями, типологией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A7 — Интерактивная карта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UC</w:t>
            </w:r>
          </w:p>
        </w:tc>
        <w:tc>
          <w:tcPr>
            <w:tcW w:type="dxa" w:w="21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Название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272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Основной поток</w:t>
            </w:r>
          </w:p>
        </w:tc>
        <w:tc>
          <w:tcPr>
            <w:tcW w:type="dxa" w:w="238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79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Просмотреть интерактивную карту пожаров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</w:t>
            </w:r>
          </w:p>
        </w:tc>
        <w:tc>
          <w:tcPr>
            <w:tcW w:type="dxa" w:w="272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/fire-map → MapCreator → слои: точки, heatmap, кластеры A3, risk_zones A5, access_points A6</w:t>
            </w:r>
          </w:p>
        </w:tc>
        <w:tc>
          <w:tcPr>
            <w:tcW w:type="dxa" w:w="238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fires_map.html (OpenLayers/OSM); TTL-кэш 300 с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UC-18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Настроить слои карты</w:t>
              <w:br/>
              <w:t>(кластеры / риск / точки доступа)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 переключает слои в UI → обновление GeoJSON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Обновлённое отображение; fires_map_analysis.json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A8 — Управление кэшем и состоянием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UC</w:t>
            </w:r>
          </w:p>
        </w:tc>
        <w:tc>
          <w:tcPr>
            <w:tcW w:type="dxa" w:w="21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Название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272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Основной поток</w:t>
            </w:r>
          </w:p>
        </w:tc>
        <w:tc>
          <w:tcPr>
            <w:tcW w:type="dxa" w:w="238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79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UC-19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Инвалидировать кэши при изменении данных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Завершён UC-02 или UC-04</w:t>
            </w:r>
          </w:p>
        </w:tc>
        <w:tc>
          <w:tcPr>
            <w:tcW w:type="dxa" w:w="272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Автоматически: db_meta → dashboard → ml → forecast → clustering → map</w:t>
            </w:r>
          </w:p>
        </w:tc>
        <w:tc>
          <w:tcPr>
            <w:tcW w:type="dxa" w:w="238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Все кэши сброшены; следующий запрос пересчитает данные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UC-20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Отслеживать статус фоновой задачи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Задача запущена (ML/кластеризация/прогноз)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/api/job-status → polling JobStore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Статус (pending/running/completed/failed) + лог</w:t>
            </w:r>
          </w:p>
        </w:tc>
      </w:tr>
      <w:tr>
        <w:tc>
          <w:tcPr>
            <w:tcW w:type="dxa" w:w="79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UC-21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Получить уведомление о завершении задачи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UC-20</w:t>
            </w:r>
          </w:p>
        </w:tc>
        <w:tc>
          <w:tcPr>
            <w:tcW w:type="dxa" w:w="272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При completed → payload доступен в UI</w:t>
            </w:r>
          </w:p>
        </w:tc>
        <w:tc>
          <w:tcPr>
            <w:tcW w:type="dxa" w:w="238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Результат задачи (payload) или сообщение об ошибке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A9 — Аналитический дашборд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UC</w:t>
            </w:r>
          </w:p>
        </w:tc>
        <w:tc>
          <w:tcPr>
            <w:tcW w:type="dxa" w:w="21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Название</w:t>
            </w:r>
          </w:p>
        </w:tc>
        <w:tc>
          <w:tcPr>
            <w:tcW w:type="dxa" w:w="1587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Предусловие</w:t>
            </w:r>
          </w:p>
        </w:tc>
        <w:tc>
          <w:tcPr>
            <w:tcW w:type="dxa" w:w="272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Основной поток</w:t>
            </w:r>
          </w:p>
        </w:tc>
        <w:tc>
          <w:tcPr>
            <w:tcW w:type="dxa" w:w="238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79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UC-22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Просмотреть аналитический дашборд KPI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</w:t>
            </w:r>
          </w:p>
        </w:tc>
        <w:tc>
          <w:tcPr>
            <w:tcW w:type="dxa" w:w="272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/api/dashboard → GROUPING SETS SQL → KPI-карточки, timeline</w:t>
            </w:r>
          </w:p>
        </w:tc>
        <w:tc>
          <w:tcPr>
            <w:tcW w:type="dxa" w:w="238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Dashboard payload (TTL 120 с); KPI, диаграммы Plotly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UC-23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Фильтровать данные дашборда</w:t>
              <w:br/>
              <w:t>(год, район, причина, группировка)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UC-22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 задаёт фильтры → перезапрос с теми же GROUPING SETS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Обновлённый payload из RAM-бандла (без повторного SQL)</w:t>
            </w:r>
          </w:p>
        </w:tc>
      </w:tr>
      <w:tr>
        <w:tc>
          <w:tcPr>
            <w:tcW w:type="dxa" w:w="79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UC-24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Получить управленческую сводку (executive brief)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UC-22</w:t>
            </w:r>
          </w:p>
        </w:tc>
        <w:tc>
          <w:tcPr>
            <w:tcW w:type="dxa" w:w="272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Раздел management в payload → топ-территории, тренды</w:t>
            </w:r>
          </w:p>
        </w:tc>
        <w:tc>
          <w:tcPr>
            <w:tcW w:type="dxa" w:w="238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Executive brief с рекомендациями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UC-25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Просмотреть профиль качества данных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UC-03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/api/profiling-report → отчёт из файла/кэша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Таблица: признаки, null-доли, причины удаления</w:t>
            </w:r>
          </w:p>
        </w:tc>
      </w:tr>
      <w:tr>
        <w:tc>
          <w:tcPr>
            <w:tcW w:type="dxa" w:w="79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UC-26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Экспортировать отчёт (XLSX / CSV)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</w:t>
            </w:r>
          </w:p>
        </w:tc>
        <w:tc>
          <w:tcPr>
            <w:tcW w:type="dxa" w:w="272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/api/export → pandas to_excel/to_csv → файл</w:t>
            </w:r>
          </w:p>
        </w:tc>
        <w:tc>
          <w:tcPr>
            <w:tcW w:type="dxa" w:w="238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Файл XLSX/CSV: clean_* таблица или профилировочный отчёт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UC-27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Получить пространственную аналитику (JSON / MD)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UC-18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GET /fire-map/analysis → fires_map_analysis.json + .md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Структурированная пространственная аналитика</w:t>
            </w:r>
          </w:p>
        </w:tc>
      </w:tr>
      <w:tr>
        <w:tc>
          <w:tcPr>
            <w:tcW w:type="dxa" w:w="79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UC-28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Просмотреть ML-прогноз в дашборде</w:t>
            </w:r>
          </w:p>
        </w:tc>
        <w:tc>
          <w:tcPr>
            <w:tcW w:type="dxa" w:w="158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UC-07 + UC-22</w:t>
            </w:r>
          </w:p>
        </w:tc>
        <w:tc>
          <w:tcPr>
            <w:tcW w:type="dxa" w:w="272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ML-payload из A8-кэша встроен в dashboard payload</w:t>
            </w:r>
          </w:p>
        </w:tc>
        <w:tc>
          <w:tcPr>
            <w:tcW w:type="dxa" w:w="238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Прогноз + feature importance прямо на дашборде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4. Связи между вариантами использования</w:t>
      </w:r>
    </w:p>
    <w:p>
      <w:pPr>
        <w:pStyle w:val="Heading2"/>
      </w:pPr>
      <w:r>
        <w:rPr>
          <w:rFonts w:ascii="Arial" w:hAnsi="Arial"/>
          <w:b/>
          <w:color w:val="2E74B5"/>
          <w:sz w:val="26"/>
        </w:rPr>
        <w:t>«include» — обязательные включения</w:t>
      </w:r>
    </w:p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«include» означает, что базовый UC всегда выполняет включаемый UC как обязательную часть.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1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Базовый UC</w:t>
            </w:r>
          </w:p>
        </w:tc>
        <w:tc>
          <w:tcPr>
            <w:tcW w:type="dxa" w:w="4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→</w:t>
            </w:r>
          </w:p>
        </w:tc>
        <w:tc>
          <w:tcPr>
            <w:tcW w:type="dxa" w:w="21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Включаемый UC</w:t>
            </w:r>
          </w:p>
        </w:tc>
        <w:tc>
          <w:tcPr>
            <w:tcW w:type="dxa" w:w="4876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Смысл связи</w:t>
            </w:r>
          </w:p>
        </w:tc>
      </w:tr>
      <w:tr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UC-02 Импортировать в БД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UC-01 Загрузить файл</w:t>
            </w:r>
          </w:p>
        </w:tc>
        <w:tc>
          <w:tcPr>
            <w:tcW w:type="dxa" w:w="487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Файл должен существовать на диске перед импортом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 Создать clean_*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UC-03 Профилировать признаки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Профиль определяет, какие столбцы удалить</w:t>
            </w:r>
          </w:p>
        </w:tc>
      </w:tr>
      <w:tr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UC-05 Обучить модель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 clean_* таблица</w:t>
            </w:r>
          </w:p>
        </w:tc>
        <w:tc>
          <w:tcPr>
            <w:tcW w:type="dxa" w:w="487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Обучение работает только с очищенными данными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UC-06 Бэктест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UC-05 Обучить модель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Бэктест — неотъемлемая часть пайплайна обучения</w:t>
            </w:r>
          </w:p>
        </w:tc>
      </w:tr>
      <w:tr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UC-11 Сценарный прогноз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UC-09 Кластеризация (A3)</w:t>
            </w:r>
          </w:p>
        </w:tc>
        <w:tc>
          <w:tcPr>
            <w:tcW w:type="dxa" w:w="487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Кластерный контекст используется при построении прогноза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UC-13 Оценка риска (A5)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UC-11 Прогноз (forecast_context)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A5 получает forecast_context от A4 — без обратного вызова</w:t>
            </w:r>
          </w:p>
        </w:tc>
      </w:tr>
      <w:tr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UC-15 Доступность ПЧ (A6)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UC-13 Оценка риска (risk_context)</w:t>
            </w:r>
          </w:p>
        </w:tc>
        <w:tc>
          <w:tcPr>
            <w:tcW w:type="dxa" w:w="487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risk_context приоритизирует объекты для анализа доступности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 Карта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UC-09 Кластеры A3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 использует кластеры A3 (собственного DBSCAN нет в v2)</w:t>
            </w:r>
          </w:p>
        </w:tc>
      </w:tr>
      <w:tr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 Карта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UC-13 risk_zones A5</w:t>
            </w:r>
          </w:p>
        </w:tc>
        <w:tc>
          <w:tcPr>
            <w:tcW w:type="dxa" w:w="487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 отображает зоны риска от A5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 Карта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UC-15 access_points A6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A7 отображает проблемные объекты от A6</w:t>
            </w:r>
          </w:p>
        </w:tc>
      </w:tr>
      <w:tr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UC-22 Дашборд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 clean_* (данные)</w:t>
            </w:r>
          </w:p>
        </w:tc>
        <w:tc>
          <w:tcPr>
            <w:tcW w:type="dxa" w:w="487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Дашборд агрегирует данные из clean_* через SQL GROUPING SETS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UC-28 ML в дашборде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UC-07 ML-прогноз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ML-payload из A8-кэша встраивается в dashboard payload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«extend» — необязательные расширения</w:t>
      </w:r>
    </w:p>
    <w:p>
      <w:pPr>
        <w:ind w:left="340"/>
        <w:shd w:val="clear" w:color="auto" w:fill="EFF3FB"/>
        <w:pBdr>
          <w:left w:val="single" w:sz="18" w:space="4" w:color="2E74B5"/>
        </w:pBdr>
      </w:pPr>
      <w:r>
        <w:rPr>
          <w:rFonts w:ascii="Arial" w:hAnsi="Arial"/>
          <w:i/>
          <w:sz w:val="20"/>
        </w:rPr>
        <w:t>«extend» означает, что расширяющий UC выполняется только при определённом условии.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1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Базовый UC</w:t>
            </w:r>
          </w:p>
        </w:tc>
        <w:tc>
          <w:tcPr>
            <w:tcW w:type="dxa" w:w="4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→</w:t>
            </w:r>
          </w:p>
        </w:tc>
        <w:tc>
          <w:tcPr>
            <w:tcW w:type="dxa" w:w="21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Расширяющий UC</w:t>
            </w:r>
          </w:p>
        </w:tc>
        <w:tc>
          <w:tcPr>
            <w:tcW w:type="dxa" w:w="4876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Условие</w:t>
            </w:r>
          </w:p>
        </w:tc>
      </w:tr>
      <w:tr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UC-09 Кластеризация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UC-10 Настройка параметров</w:t>
            </w:r>
          </w:p>
        </w:tc>
        <w:tc>
          <w:tcPr>
            <w:tcW w:type="dxa" w:w="487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 хочет изменить k, алгоритм или набор признаков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UC-11 Прогноз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UC-12 Выбор горизонта / фильтров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 меняет горизонт, район или причину</w:t>
            </w:r>
          </w:p>
        </w:tc>
      </w:tr>
      <w:tr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UC-13 Оценка риска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UC-14 Смена профиля весов</w:t>
            </w:r>
          </w:p>
        </w:tc>
        <w:tc>
          <w:tcPr>
            <w:tcW w:type="dxa" w:w="487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 переключает adaptive / expert / calibratable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 Карта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UC-18 Настройка слоёв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 включает/выключает слои карты</w:t>
            </w:r>
          </w:p>
        </w:tc>
      </w:tr>
      <w:tr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UC-20 Статус задачи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UC-21 Уведомление о завершении</w:t>
            </w:r>
          </w:p>
        </w:tc>
        <w:tc>
          <w:tcPr>
            <w:tcW w:type="dxa" w:w="487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Задача переходит в статус completed или failed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UC-22 Дашборд</w:t>
            </w:r>
          </w:p>
        </w:tc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UC-23 Фильтрация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 задаёт год / район / причину / группировку</w:t>
            </w:r>
          </w:p>
        </w:tc>
      </w:tr>
      <w:tr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UC-22 Дашборд</w:t>
            </w:r>
          </w:p>
        </w:tc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→</w:t>
            </w:r>
          </w:p>
        </w:tc>
        <w:tc>
          <w:tcPr>
            <w:tcW w:type="dxa" w:w="21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UC-24 Управленческая сводка</w:t>
            </w:r>
          </w:p>
        </w:tc>
        <w:tc>
          <w:tcPr>
            <w:tcW w:type="dxa" w:w="487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Пользователь запрашивает executive view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5. Основные сценарии (Happy Path)</w:t>
      </w:r>
    </w:p>
    <w:p>
      <w:pPr>
        <w:pStyle w:val="Heading2"/>
      </w:pPr>
      <w:r>
        <w:rPr>
          <w:rFonts w:ascii="Arial" w:hAnsi="Arial"/>
          <w:b/>
          <w:color w:val="2E74B5"/>
          <w:sz w:val="26"/>
        </w:rPr>
        <w:t>Сценарий 1 — Полный цикл нового проекта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Шаг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Действие пользователя</w:t>
            </w:r>
          </w:p>
        </w:tc>
        <w:tc>
          <w:tcPr>
            <w:tcW w:type="dxa" w:w="102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UC</w:t>
            </w:r>
          </w:p>
        </w:tc>
        <w:tc>
          <w:tcPr>
            <w:tcW w:type="dxa" w:w="561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Что делает система</w:t>
            </w:r>
          </w:p>
        </w:tc>
      </w:tr>
      <w:tr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Загружает XLS/CSV файл пожаров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UC-01</w:t>
            </w:r>
          </w:p>
        </w:tc>
        <w:tc>
          <w:tcPr>
            <w:tcW w:type="dxa" w:w="561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Сохраняет файл; создаёт Job в JobStore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Запускает импорт в БД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UC-02</w:t>
            </w:r>
          </w:p>
        </w:tc>
        <w:tc>
          <w:tcPr>
            <w:tcW w:type="dxa" w:w="561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pandas → to_sql; создаёт таблицу project_name</w:t>
            </w:r>
          </w:p>
        </w:tc>
      </w:tr>
      <w:tr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Профилирует признаки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UC-03</w:t>
            </w:r>
          </w:p>
        </w:tc>
        <w:tc>
          <w:tcPr>
            <w:tcW w:type="dxa" w:w="561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Считает null/доминанты/дисперсию; формирует drop_reasons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Создаёт clean_* таблицу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UC-04</w:t>
            </w:r>
          </w:p>
        </w:tc>
        <w:tc>
          <w:tcPr>
            <w:tcW w:type="dxa" w:w="561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DDL CREATE TABLE clean_*; инвалидирует все кэши (UC-19)</w:t>
            </w:r>
          </w:p>
        </w:tc>
      </w:tr>
      <w:tr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Обучает ML-модель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UC-05–06</w:t>
            </w:r>
          </w:p>
        </w:tc>
        <w:tc>
          <w:tcPr>
            <w:tcW w:type="dxa" w:w="561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Признаки → Poisson/NegBin → бэктест 8–45 окон → LRU-кэш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Кластеризует территории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UC-09</w:t>
            </w:r>
          </w:p>
        </w:tc>
        <w:tc>
          <w:tcPr>
            <w:tcW w:type="dxa" w:w="561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Weighted KMeans → метки + профили → TTL-кэш 120 с</w:t>
            </w:r>
          </w:p>
        </w:tc>
      </w:tr>
      <w:tr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Строит сценарный прогноз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UC-11</w:t>
            </w:r>
          </w:p>
        </w:tc>
        <w:tc>
          <w:tcPr>
            <w:tcW w:type="dxa" w:w="561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Сезонность × тренд × температура → forecast_context → A5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Просматривает риск территорий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UC-13</w:t>
            </w:r>
          </w:p>
        </w:tc>
        <w:tc>
          <w:tcPr>
            <w:tcW w:type="dxa" w:w="561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Grid geo-risk → risk_score → risk_context → A6; geo → A7</w:t>
            </w:r>
          </w:p>
        </w:tc>
      </w:tr>
      <w:tr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Просматривает доступность ПЧ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UC-15–16</w:t>
            </w:r>
          </w:p>
        </w:tc>
        <w:tc>
          <w:tcPr>
            <w:tcW w:type="dxa" w:w="561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Weighted score → TOP-N проблемных объектов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Открывает интерактивную карту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</w:t>
            </w:r>
          </w:p>
        </w:tc>
        <w:tc>
          <w:tcPr>
            <w:tcW w:type="dxa" w:w="561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OpenLayers: точки + heatmap + кластеры A3 + риск A5 + A6</w:t>
            </w:r>
          </w:p>
        </w:tc>
      </w:tr>
      <w:tr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Просматривает дашборд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UC-22</w:t>
            </w:r>
          </w:p>
        </w:tc>
        <w:tc>
          <w:tcPr>
            <w:tcW w:type="dxa" w:w="561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GROUPING SETS SQL → KPI + Plotly-графики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Экспортирует отчёт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UC-26</w:t>
            </w:r>
          </w:p>
        </w:tc>
        <w:tc>
          <w:tcPr>
            <w:tcW w:type="dxa" w:w="561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to_excel/to_csv → файл для скачивания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Сценарий 2 — Оперативный просмотр (быстрый)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Шаг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Действие пользователя</w:t>
            </w:r>
          </w:p>
        </w:tc>
        <w:tc>
          <w:tcPr>
            <w:tcW w:type="dxa" w:w="102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UC</w:t>
            </w:r>
          </w:p>
        </w:tc>
        <w:tc>
          <w:tcPr>
            <w:tcW w:type="dxa" w:w="561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Что делает система</w:t>
            </w:r>
          </w:p>
        </w:tc>
      </w:tr>
      <w:tr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Открывает дашборд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UC-22</w:t>
            </w:r>
          </w:p>
        </w:tc>
        <w:tc>
          <w:tcPr>
            <w:tcW w:type="dxa" w:w="561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Загружает из A8-кэша (TTL 120 с) — без SQL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Фильтрует по году и району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UC-23</w:t>
            </w:r>
          </w:p>
        </w:tc>
        <w:tc>
          <w:tcPr>
            <w:tcW w:type="dxa" w:w="561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Нарезает RAM-бандл — без повторного SQL</w:t>
            </w:r>
          </w:p>
        </w:tc>
      </w:tr>
      <w:tr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Открывает управленческую сводку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UC-24</w:t>
            </w:r>
          </w:p>
        </w:tc>
        <w:tc>
          <w:tcPr>
            <w:tcW w:type="dxa" w:w="561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executive_brief из payload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Переходит на карту рисков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</w:t>
            </w:r>
          </w:p>
        </w:tc>
        <w:tc>
          <w:tcPr>
            <w:tcW w:type="dxa" w:w="561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HTML из A8-кэша (TTL 300 с) — мгновенно</w:t>
            </w:r>
          </w:p>
        </w:tc>
      </w:tr>
      <w:tr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Смотрит TOP-N проблемных объектов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UC-16</w:t>
            </w:r>
          </w:p>
        </w:tc>
        <w:tc>
          <w:tcPr>
            <w:tcW w:type="dxa" w:w="561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Список из A8-кэша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4B5"/>
          <w:sz w:val="26"/>
        </w:rPr>
        <w:t>Сценарий 3 — Обновление данных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Шаг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Действие пользователя</w:t>
            </w:r>
          </w:p>
        </w:tc>
        <w:tc>
          <w:tcPr>
            <w:tcW w:type="dxa" w:w="1020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UC</w:t>
            </w:r>
          </w:p>
        </w:tc>
        <w:tc>
          <w:tcPr>
            <w:tcW w:type="dxa" w:w="561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Что делает система</w:t>
            </w:r>
          </w:p>
        </w:tc>
      </w:tr>
      <w:tr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Загружает обновлённый файл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UC-01</w:t>
            </w:r>
          </w:p>
        </w:tc>
        <w:tc>
          <w:tcPr>
            <w:tcW w:type="dxa" w:w="561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Сохраняет поверх старого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Запускает повторный импорт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UC-02</w:t>
            </w:r>
          </w:p>
        </w:tc>
        <w:tc>
          <w:tcPr>
            <w:tcW w:type="dxa" w:w="561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to_sql if_exists=replace; таблица перезаписана</w:t>
            </w:r>
          </w:p>
        </w:tc>
      </w:tr>
      <w:tr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(автоматически)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UC-19</w:t>
            </w:r>
          </w:p>
        </w:tc>
        <w:tc>
          <w:tcPr>
            <w:tcW w:type="dxa" w:w="561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Каскадная инвалидация: db_meta→dashboard→ml→forecast→map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Повторно профилирует и создаёт clean_*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UC-03–04</w:t>
            </w:r>
          </w:p>
        </w:tc>
        <w:tc>
          <w:tcPr>
            <w:tcW w:type="dxa" w:w="561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Пересоздаёт clean_* с новыми данными</w:t>
            </w:r>
          </w:p>
        </w:tc>
      </w:tr>
      <w:tr>
        <w:tc>
          <w:tcPr>
            <w:tcW w:type="dxa" w:w="45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Все модули пересчитываются при следующем запросе</w:t>
            </w:r>
          </w:p>
        </w:tc>
        <w:tc>
          <w:tcPr>
            <w:tcW w:type="dxa" w:w="102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UC-05..UC-22</w:t>
            </w:r>
          </w:p>
        </w:tc>
        <w:tc>
          <w:tcPr>
            <w:tcW w:type="dxa" w:w="5613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Холодный старт кэшей; TTL начинается заново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6. Нефункциональные требования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Требование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3969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Связанные UC</w:t>
            </w:r>
          </w:p>
        </w:tc>
      </w:tr>
      <w:tr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Время ответа (кэш hit)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&lt; 100 мс</w:t>
            </w:r>
          </w:p>
        </w:tc>
        <w:tc>
          <w:tcPr>
            <w:tcW w:type="dxa" w:w="39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UC-07, UC-17, UC-22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TTL кэша карты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300 с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UC-17, UC-19</w:t>
            </w:r>
          </w:p>
        </w:tc>
      </w:tr>
      <w:tr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TTL кэша дашборда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120 с (данные) / 300 с (мета)</w:t>
            </w:r>
          </w:p>
        </w:tc>
        <w:tc>
          <w:tcPr>
            <w:tcW w:type="dxa" w:w="39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UC-22, UC-23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LRU ML-кэш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128 записей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UC-05, UC-07</w:t>
            </w:r>
          </w:p>
        </w:tc>
      </w:tr>
      <w:tr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Минимальный объём для бэктеста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8 скользящих окон</w:t>
            </w:r>
          </w:p>
        </w:tc>
        <w:tc>
          <w:tcPr>
            <w:tcW w:type="dxa" w:w="39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UC-06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Поддерживаемые форматы файлов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.xls, .xlsx, .csv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UC-01</w:t>
            </w:r>
          </w:p>
        </w:tc>
      </w:tr>
      <w:tr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Порог времени прибытия ПЧ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20 мин</w:t>
            </w:r>
          </w:p>
        </w:tc>
        <w:tc>
          <w:tcPr>
            <w:tcW w:type="dxa" w:w="39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UC-15, UC-16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Минимальная поддержка точки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3 записи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UC-15</w:t>
            </w:r>
          </w:p>
        </w:tc>
      </w:tr>
      <w:tr>
        <w:tc>
          <w:tcPr>
            <w:tcW w:type="dxa" w:w="3118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Максимальный штраф неопределённости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6 баллов из 100</w:t>
            </w:r>
          </w:p>
        </w:tc>
        <w:tc>
          <w:tcPr>
            <w:tcW w:type="dxa" w:w="39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UC-15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Параллельность фоновых задач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ThreadPoolExecutor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UC-20, UC-21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jc w:val="center"/>
      </w:pPr>
      <w:r>
        <w:rPr>
          <w:rFonts w:ascii="Arial" w:hAnsi="Arial"/>
          <w:i/>
          <w:color w:val="808080"/>
          <w:sz w:val="17"/>
        </w:rPr>
        <w:t>Fire Data Pipeline — Use Case Diagram  |  Актор: Пользователь  |  v1.1  |  Апрель 2026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