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RISC-V模拟器报告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519039010338  衡阳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编号：5971</w:t>
      </w:r>
    </w:p>
    <w:p>
      <w:p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要求完成，5级流水线用了4个lock（0|1），分别表示这个进程（IF、ID、EX、MEM、WB等）是否按照顺序传到下一个周期，在每一次进程结束后，将此进程lock设为结束（1），将相邻下一个设为开始（0）；若一个进程的下一个进程未结束或此进程未开始则不可以开始进程。在动态分支预测中若预测失败则将ID进程设置为结束（ID_lock=1）以终止错误指令，流水线主要流程以及3周期模拟如下：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1779270"/>
            <wp:effectExtent l="0" t="0" r="3175" b="3810"/>
            <wp:docPr id="2" name="图片 2" descr="QQ截图20200719225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QQ截图2020071922574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6221730"/>
            <wp:effectExtent l="0" t="0" r="3810" b="11430"/>
            <wp:docPr id="3" name="图片 3" descr="QQ截图20200719225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07192258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2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动态分支预测：之前采用的是2级饱和计数器效果不好，然后改为了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两级自适应预测器</w:t>
      </w:r>
      <w:r>
        <w:rPr>
          <w:rFonts w:hint="eastAsia"/>
          <w:lang w:val="en-US" w:eastAsia="zh-CN"/>
        </w:rPr>
        <w:t>（分支历史寄存器大小为2</w:t>
      </w:r>
      <w:r>
        <w:rPr>
          <w:rFonts w:hint="default"/>
          <w:lang w:val="en-US" w:eastAsia="zh-CN"/>
        </w:rPr>
        <w:t>^2</w:t>
      </w:r>
      <w:r>
        <w:rPr>
          <w:rFonts w:hint="eastAsia"/>
          <w:lang w:val="en-US" w:eastAsia="zh-CN"/>
        </w:rPr>
        <w:t>），对于条件分支次数超过10000的计算了正确率，其中tak</w:t>
      </w:r>
      <w:bookmarkStart w:id="0" w:name="_GoBack"/>
      <w:bookmarkEnd w:id="0"/>
      <w:r>
        <w:rPr>
          <w:rFonts w:hint="eastAsia"/>
          <w:lang w:val="en-US" w:eastAsia="zh-CN"/>
        </w:rPr>
        <w:t>为75%，其余全在80%以上，其中basicopt1、bulgarian、qsort、superloop超过90%。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F Tex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FB7CB7"/>
    <w:rsid w:val="296F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2020-07-19T14:20:29Z</dcterms:created>
  <dc:creator>ASUS</dc:creator>
  <cp:lastModifiedBy>スパークル</cp:lastModifiedBy>
  <dcterms:modified xsi:type="dcterms:W3CDTF">2020-07-19T15:04:28Z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