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4332"/>
          <w:sz w:val="72"/>
          <w:szCs w:val="72"/>
        </w:rPr>
        <w:t xml:space="preserve">TerraTwin</w:t>
      </w:r>
    </w:p>
    <w:p>
      <w:pPr>
        <w:spacing w:after="80" w:before="200"/>
        <w:jc w:val="center"/>
      </w:pPr>
      <w:r>
        <w:rPr>
          <w:b/>
          <w:bCs/>
          <w:color w:val="40916C"/>
          <w:sz w:val="28"/>
          <w:szCs w:val="28"/>
        </w:rPr>
        <w:t xml:space="preserve">AI Readiness Digital Twin for Sustainable Agriculture</w:t>
      </w:r>
    </w:p>
    <w:p>
      <w:pPr>
        <w:spacing w:after="500"/>
        <w:jc w:val="center"/>
      </w:pPr>
      <w:r>
        <w:rPr>
          <w:b/>
          <w:bCs/>
          <w:color w:val="B08D57"/>
          <w:sz w:val="24"/>
          <w:szCs w:val="24"/>
        </w:rPr>
        <w:t xml:space="preserve">AI Application Explanation</w:t>
      </w:r>
    </w:p>
    <w:p>
      <w:pPr>
        <w:spacing w:after="50"/>
        <w:jc w:val="center"/>
      </w:pPr>
      <w:r>
        <w:rPr>
          <w:color w:val="1A1A1A"/>
          <w:sz w:val="20"/>
          <w:szCs w:val="20"/>
        </w:rPr>
        <w:t xml:space="preserve">Submitted to: ITU AI Readiness Hackathon — Kingdom of Saudi Arabia 2026</w:t>
      </w:r>
    </w:p>
    <w:p>
      <w:pPr>
        <w:spacing w:after="400"/>
        <w:jc w:val="center"/>
      </w:pPr>
      <w:r>
        <w:rPr>
          <w:color w:val="5A5A5A"/>
          <w:sz w:val="20"/>
          <w:szCs w:val="20"/>
        </w:rPr>
        <w:t xml:space="preserve">Organized under AI for Good / ITU-T</w:t>
      </w:r>
    </w:p>
    <w:p>
      <w:pPr>
        <w:spacing w:after="30"/>
        <w:jc w:val="center"/>
      </w:pPr>
      <w:r>
        <w:rPr>
          <w:b/>
          <w:bCs/>
          <w:color w:val="1A1A1A"/>
          <w:sz w:val="22"/>
          <w:szCs w:val="22"/>
        </w:rPr>
        <w:t xml:space="preserve">Wanas Zakri</w:t>
      </w:r>
    </w:p>
    <w:p>
      <w:pPr>
        <w:spacing w:after="400"/>
        <w:jc w:val="center"/>
      </w:pPr>
      <w:r>
        <w:rPr>
          <w:color w:val="5A5A5A"/>
          <w:sz w:val="19"/>
          <w:szCs w:val="19"/>
        </w:rPr>
        <w:t xml:space="preserve">Management Information Systems, Jazan University</w:t>
      </w:r>
    </w:p>
    <w:p>
      <w:pPr>
        <w:spacing w:before="300"/>
        <w:jc w:val="center"/>
      </w:pPr>
      <w:r>
        <w:rPr>
          <w:i/>
          <w:iCs/>
          <w:color w:val="5A5A5A"/>
          <w:sz w:val="18"/>
          <w:szCs w:val="18"/>
        </w:rPr>
        <w:t xml:space="preserve">Submission deadline: August 31, 2026</w:t>
      </w:r>
    </w:p>
    <w:p>
      <w:r>
        <w:br w:type="page"/>
      </w:r>
    </w:p>
    <w:p>
      <w:pPr>
        <w:pStyle w:val="Heading1"/>
        <w:pBdr>
          <w:bottom w:val="single" w:color="40916C" w:sz="8" w:space="4"/>
        </w:pBdr>
        <w:spacing w:after="180" w:before="400"/>
      </w:pPr>
      <w:r>
        <w:rPr>
          <w:b/>
          <w:bCs/>
          <w:color w:val="1B4332"/>
          <w:sz w:val="30"/>
          <w:szCs w:val="30"/>
        </w:rPr>
        <w:t xml:space="preserve">1. Clear Description of the Application</w:t>
      </w:r>
    </w:p>
    <w:p>
      <w:pPr>
        <w:spacing w:after="130" w:line="290"/>
      </w:pPr>
      <w:r>
        <w:rPr>
          <w:b w:val="false"/>
          <w:bCs w:val="false"/>
          <w:i w:val="false"/>
          <w:iCs w:val="false"/>
          <w:color w:val="1A1A1A"/>
          <w:sz w:val="21"/>
          <w:szCs w:val="21"/>
        </w:rPr>
        <w:t xml:space="preserve">TerraTwin is a browser-based AI-readiness digital twin for sustainable agriculture in Jazan, Kingdom of Saudi Arabia. It does three things:</w:t>
      </w:r>
    </w:p>
    <w:p>
      <w:pPr>
        <w:pStyle w:val="ListParagraph"/>
        <w:numPr>
          <w:ilvl w:val="0"/>
          <w:numId w:val="2"/>
        </w:numPr>
        <w:spacing w:after="85"/>
      </w:pPr>
      <w:r>
        <w:rPr>
          <w:color w:val="1A1A1A"/>
          <w:sz w:val="21"/>
          <w:szCs w:val="21"/>
        </w:rPr>
        <w:t xml:space="preserve">Measures AI readiness: a 19-question assessment scores a farm across five dimensions (Data, Infrastructure, Skills, Governance, and Sandbox Readiness) out of 100, producing a status, a per-dimension breakdown, and a named priority gap.</w:t>
      </w:r>
    </w:p>
    <w:p>
      <w:pPr>
        <w:pStyle w:val="ListParagraph"/>
        <w:numPr>
          <w:ilvl w:val="0"/>
          <w:numId w:val="2"/>
        </w:numPr>
        <w:spacing w:after="85"/>
      </w:pPr>
      <w:r>
        <w:rPr>
          <w:color w:val="1A1A1A"/>
          <w:sz w:val="21"/>
          <w:szCs w:val="21"/>
        </w:rPr>
        <w:t xml:space="preserve">Simulates decisions in a sandbox: a rule-based digital twin runs a full crop season one week at a time. The farmer chooses an action each week (irrigate, fertilise, treat, inspect, or hold); weather changes, soil moisture drains, pest pressure builds, and plant health responds. Every decision passes through the full ITU-T Y.3172 machine-learning pipeline before it reaches the crop.</w:t>
      </w:r>
    </w:p>
    <w:p>
      <w:pPr>
        <w:pStyle w:val="ListParagraph"/>
        <w:numPr>
          <w:ilvl w:val="0"/>
          <w:numId w:val="2"/>
        </w:numPr>
        <w:spacing w:after="85"/>
      </w:pPr>
      <w:r>
        <w:rPr>
          <w:color w:val="1A1A1A"/>
          <w:sz w:val="21"/>
          <w:szCs w:val="21"/>
        </w:rPr>
        <w:t xml:space="preserve">Runs the farm day to day: a farm-operations layer that registers what is actually growing on the holding and keeps its irrigation and fertilisation schedule, diagnoses plant health from a photograph, raises weather alerts against what is planted, and connects the farmer to other growers in the region through a forum and a local market. This layer is what turns the readiness assessment from a one-off form into a continuous record the farm produces by being used.</w:t>
      </w:r>
    </w:p>
    <w:p>
      <w:pPr>
        <w:spacing w:after="130" w:line="290"/>
      </w:pPr>
      <w:r>
        <w:rPr>
          <w:b w:val="false"/>
          <w:bCs w:val="false"/>
          <w:i w:val="false"/>
          <w:iCs w:val="false"/>
          <w:color w:val="1A1A1A"/>
          <w:sz w:val="21"/>
          <w:szCs w:val="21"/>
        </w:rPr>
        <w:t xml:space="preserve">The application also includes Farmy, a built-in farming assistant (a robot in a farmer’s hat) that answers agricultural questions from a local knowledge base of over 500 topics covering all 13 Saudi regions, the major crops and trees of Saudi Arabia and the world, soils, water and irrigation methods, pests, diseases, plant nutrition, propagation, livestock, and research institutions. Farmy includes a climate-matching engine that judges whether a specific crop suits a specific region from chill-hour and heat data, returning a reasoned verdict across 60 crops and 15 regional climate profiles (900 combinations).</w:t>
      </w:r>
    </w:p>
    <w:p>
      <w:pPr>
        <w:spacing w:after="130" w:line="290"/>
      </w:pPr>
      <w:r>
        <w:rPr>
          <w:b w:val="false"/>
          <w:bCs w:val="false"/>
          <w:i w:val="false"/>
          <w:iCs w:val="false"/>
          <w:color w:val="1A1A1A"/>
          <w:sz w:val="21"/>
          <w:szCs w:val="21"/>
        </w:rPr>
        <w:t xml:space="preserve">The entire application runs in a web browser with no server, no build step, no framework, and no API key. It is fully offline-capable once loaded and opens directly in Visual Studio Code with Live Server.</w:t>
      </w:r>
    </w:p>
    <w:p>
      <w:pPr>
        <w:pStyle w:val="Heading2"/>
        <w:spacing w:after="100" w:before="260"/>
      </w:pPr>
      <w:r>
        <w:rPr>
          <w:b/>
          <w:bCs/>
          <w:color w:val="40916C"/>
          <w:sz w:val="24"/>
          <w:szCs w:val="24"/>
        </w:rPr>
        <w:t xml:space="preserve">1.1 Architecture: ITU-T Y.3172 Alignment</w:t>
      </w:r>
    </w:p>
    <w:p>
      <w:pPr>
        <w:spacing w:after="130" w:line="290"/>
      </w:pPr>
      <w:r>
        <w:rPr>
          <w:b w:val="false"/>
          <w:bCs w:val="false"/>
          <w:i w:val="false"/>
          <w:iCs w:val="false"/>
          <w:color w:val="1A1A1A"/>
          <w:sz w:val="21"/>
          <w:szCs w:val="21"/>
        </w:rPr>
        <w:t xml:space="preserve">TerraTwin’s architecture is expressed entirely in the terms of Recommendation ITU-T Y.3172 (06/2019), Architectural framework for machine learning in future networks including IMT-2020. Every data-flow stage maps to a named pipeline node: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1B4332" w:val="clear"/>
            <w:tcMar>
              <w:top w:type="dxa" w:w="90"/>
              <w:left w:type="dxa" w:w="110"/>
              <w:bottom w:type="dxa" w:w="90"/>
              <w:right w:type="dxa" w:w="110"/>
            </w:tcMar>
          </w:tcPr>
          <w:p>
            <w:r>
              <w:rPr>
                <w:b/>
                <w:bCs/>
                <w:color w:val="FFFFFF"/>
                <w:sz w:val="19"/>
                <w:szCs w:val="19"/>
              </w:rPr>
              <w:t xml:space="preserve">Y.3172 Node</w:t>
            </w:r>
          </w:p>
        </w:tc>
        <w:tc>
          <w:tcPr>
            <w:tcW w:type="dxa" w:w="7000"/>
            <w:shd w:fill="1B4332" w:val="clear"/>
            <w:tcMar>
              <w:top w:type="dxa" w:w="90"/>
              <w:left w:type="dxa" w:w="110"/>
              <w:bottom w:type="dxa" w:w="90"/>
              <w:right w:type="dxa" w:w="110"/>
            </w:tcMar>
          </w:tcPr>
          <w:p>
            <w:r>
              <w:rPr>
                <w:b/>
                <w:bCs/>
                <w:color w:val="FFFFFF"/>
                <w:sz w:val="19"/>
                <w:szCs w:val="19"/>
              </w:rPr>
              <w:t xml:space="preserve">TerraTwin Implementation</w:t>
            </w:r>
          </w:p>
        </w:tc>
      </w:tr>
      <w:tr>
        <w:tc>
          <w:tcPr>
            <w:tcW w:type="dxa" w:w="2800"/>
            <w:shd w:fill="FFFFFF" w:val="clear"/>
            <w:tcMar>
              <w:top w:type="dxa" w:w="80"/>
              <w:left w:type="dxa" w:w="110"/>
              <w:bottom w:type="dxa" w:w="80"/>
              <w:right w:type="dxa" w:w="110"/>
            </w:tcMar>
          </w:tcPr>
          <w:p>
            <w:r>
              <w:rPr>
                <w:b w:val="false"/>
                <w:bCs w:val="false"/>
                <w:color w:val="1A1A1A"/>
                <w:sz w:val="19"/>
                <w:szCs w:val="19"/>
              </w:rPr>
              <w:t xml:space="preserve">SRC (Source)</w:t>
            </w:r>
          </w:p>
        </w:tc>
        <w:tc>
          <w:tcPr>
            <w:tcW w:type="dxa" w:w="7000"/>
            <w:shd w:fill="FFFFFF" w:val="clear"/>
            <w:tcMar>
              <w:top w:type="dxa" w:w="80"/>
              <w:left w:type="dxa" w:w="110"/>
              <w:bottom w:type="dxa" w:w="80"/>
              <w:right w:type="dxa" w:w="110"/>
            </w:tcMar>
          </w:tcPr>
          <w:p>
            <w:r>
              <w:rPr>
                <w:b w:val="false"/>
                <w:bCs w:val="false"/>
                <w:color w:val="1A1A1A"/>
                <w:sz w:val="19"/>
                <w:szCs w:val="19"/>
              </w:rPr>
              <w:t xml:space="preserve">Farm data entry: soil condition, irrigation records, weather, prior yield, pest observations.</w:t>
            </w:r>
          </w:p>
        </w:tc>
      </w:tr>
      <w:tr>
        <w:tc>
          <w:tcPr>
            <w:tcW w:type="dxa" w:w="2800"/>
            <w:shd w:fill="F8F6F0" w:val="clear"/>
            <w:tcMar>
              <w:top w:type="dxa" w:w="80"/>
              <w:left w:type="dxa" w:w="110"/>
              <w:bottom w:type="dxa" w:w="80"/>
              <w:right w:type="dxa" w:w="110"/>
            </w:tcMar>
          </w:tcPr>
          <w:p>
            <w:r>
              <w:rPr>
                <w:b w:val="false"/>
                <w:bCs w:val="false"/>
                <w:color w:val="1A1A1A"/>
                <w:sz w:val="19"/>
                <w:szCs w:val="19"/>
              </w:rPr>
              <w:t xml:space="preserve">C (Collector)</w:t>
            </w:r>
          </w:p>
        </w:tc>
        <w:tc>
          <w:tcPr>
            <w:tcW w:type="dxa" w:w="7000"/>
            <w:shd w:fill="F8F6F0" w:val="clear"/>
            <w:tcMar>
              <w:top w:type="dxa" w:w="80"/>
              <w:left w:type="dxa" w:w="110"/>
              <w:bottom w:type="dxa" w:w="80"/>
              <w:right w:type="dxa" w:w="110"/>
            </w:tcMar>
          </w:tcPr>
          <w:p>
            <w:r>
              <w:rPr>
                <w:b w:val="false"/>
                <w:bCs w:val="false"/>
                <w:color w:val="1A1A1A"/>
                <w:sz w:val="19"/>
                <w:szCs w:val="19"/>
              </w:rPr>
              <w:t xml:space="preserve">Intake layer consolidating farm-input answers into a single farm profile record.</w:t>
            </w:r>
          </w:p>
        </w:tc>
      </w:tr>
      <w:tr>
        <w:tc>
          <w:tcPr>
            <w:tcW w:type="dxa" w:w="2800"/>
            <w:shd w:fill="FFFFFF" w:val="clear"/>
            <w:tcMar>
              <w:top w:type="dxa" w:w="80"/>
              <w:left w:type="dxa" w:w="110"/>
              <w:bottom w:type="dxa" w:w="80"/>
              <w:right w:type="dxa" w:w="110"/>
            </w:tcMar>
          </w:tcPr>
          <w:p>
            <w:r>
              <w:rPr>
                <w:b w:val="false"/>
                <w:bCs w:val="false"/>
                <w:color w:val="1A1A1A"/>
                <w:sz w:val="19"/>
                <w:szCs w:val="19"/>
              </w:rPr>
              <w:t xml:space="preserve">PP (Pre-processor)</w:t>
            </w:r>
          </w:p>
        </w:tc>
        <w:tc>
          <w:tcPr>
            <w:tcW w:type="dxa" w:w="7000"/>
            <w:shd w:fill="FFFFFF" w:val="clear"/>
            <w:tcMar>
              <w:top w:type="dxa" w:w="80"/>
              <w:left w:type="dxa" w:w="110"/>
              <w:bottom w:type="dxa" w:w="80"/>
              <w:right w:type="dxa" w:w="110"/>
            </w:tcMar>
          </w:tcPr>
          <w:p>
            <w:r>
              <w:rPr>
                <w:b w:val="false"/>
                <w:bCs w:val="false"/>
                <w:color w:val="1A1A1A"/>
                <w:sz w:val="19"/>
                <w:szCs w:val="19"/>
              </w:rPr>
              <w:t xml:space="preserve">Normalises answers into the scoring scale and the simulation input format.</w:t>
            </w:r>
          </w:p>
        </w:tc>
      </w:tr>
      <w:tr>
        <w:tc>
          <w:tcPr>
            <w:tcW w:type="dxa" w:w="2800"/>
            <w:shd w:fill="F8F6F0" w:val="clear"/>
            <w:tcMar>
              <w:top w:type="dxa" w:w="80"/>
              <w:left w:type="dxa" w:w="110"/>
              <w:bottom w:type="dxa" w:w="80"/>
              <w:right w:type="dxa" w:w="110"/>
            </w:tcMar>
          </w:tcPr>
          <w:p>
            <w:r>
              <w:rPr>
                <w:b w:val="false"/>
                <w:bCs w:val="false"/>
                <w:color w:val="1A1A1A"/>
                <w:sz w:val="19"/>
                <w:szCs w:val="19"/>
              </w:rPr>
              <w:t xml:space="preserve">M (Model)</w:t>
            </w:r>
          </w:p>
        </w:tc>
        <w:tc>
          <w:tcPr>
            <w:tcW w:type="dxa" w:w="7000"/>
            <w:shd w:fill="F8F6F0" w:val="clear"/>
            <w:tcMar>
              <w:top w:type="dxa" w:w="80"/>
              <w:left w:type="dxa" w:w="110"/>
              <w:bottom w:type="dxa" w:w="80"/>
              <w:right w:type="dxa" w:w="110"/>
            </w:tcMar>
          </w:tcPr>
          <w:p>
            <w:r>
              <w:rPr>
                <w:b w:val="false"/>
                <w:bCs w:val="false"/>
                <w:color w:val="1A1A1A"/>
                <w:sz w:val="19"/>
                <w:szCs w:val="19"/>
              </w:rPr>
              <w:t xml:space="preserve">Rule-based readiness-scoring engine and digital-twin simulation engine. Prototype stage — designed to be replaceable by a trained predictive model without altering the surrounding nodes.</w:t>
            </w:r>
          </w:p>
        </w:tc>
      </w:tr>
      <w:tr>
        <w:tc>
          <w:tcPr>
            <w:tcW w:type="dxa" w:w="2800"/>
            <w:shd w:fill="FFFFFF" w:val="clear"/>
            <w:tcMar>
              <w:top w:type="dxa" w:w="80"/>
              <w:left w:type="dxa" w:w="110"/>
              <w:bottom w:type="dxa" w:w="80"/>
              <w:right w:type="dxa" w:w="110"/>
            </w:tcMar>
          </w:tcPr>
          <w:p>
            <w:r>
              <w:rPr>
                <w:b w:val="false"/>
                <w:bCs w:val="false"/>
                <w:color w:val="1A1A1A"/>
                <w:sz w:val="19"/>
                <w:szCs w:val="19"/>
              </w:rPr>
              <w:t xml:space="preserve">P (Policy)</w:t>
            </w:r>
          </w:p>
        </w:tc>
        <w:tc>
          <w:tcPr>
            <w:tcW w:type="dxa" w:w="7000"/>
            <w:shd w:fill="FFFFFF" w:val="clear"/>
            <w:tcMar>
              <w:top w:type="dxa" w:w="80"/>
              <w:left w:type="dxa" w:w="110"/>
              <w:bottom w:type="dxa" w:w="80"/>
              <w:right w:type="dxa" w:w="110"/>
            </w:tcMar>
          </w:tcPr>
          <w:p>
            <w:r>
              <w:rPr>
                <w:b w:val="false"/>
                <w:bCs w:val="false"/>
                <w:color w:val="1A1A1A"/>
                <w:sz w:val="19"/>
                <w:szCs w:val="19"/>
              </w:rPr>
              <w:t xml:space="preserve">Governance and safety checks: minimum irrigation interval, seasonal fertiliser ceiling, pest-treatment threshold, PDPL-aligned data-handling flags. If any rule fails, the recommendation is blocked and never reaches the SINK.</w:t>
            </w:r>
          </w:p>
        </w:tc>
      </w:tr>
      <w:tr>
        <w:tc>
          <w:tcPr>
            <w:tcW w:type="dxa" w:w="2800"/>
            <w:shd w:fill="F8F6F0" w:val="clear"/>
            <w:tcMar>
              <w:top w:type="dxa" w:w="80"/>
              <w:left w:type="dxa" w:w="110"/>
              <w:bottom w:type="dxa" w:w="80"/>
              <w:right w:type="dxa" w:w="110"/>
            </w:tcMar>
          </w:tcPr>
          <w:p>
            <w:r>
              <w:rPr>
                <w:b w:val="false"/>
                <w:bCs w:val="false"/>
                <w:color w:val="1A1A1A"/>
                <w:sz w:val="19"/>
                <w:szCs w:val="19"/>
              </w:rPr>
              <w:t xml:space="preserve">D (Distributor)</w:t>
            </w:r>
          </w:p>
        </w:tc>
        <w:tc>
          <w:tcPr>
            <w:tcW w:type="dxa" w:w="7000"/>
            <w:shd w:fill="F8F6F0" w:val="clear"/>
            <w:tcMar>
              <w:top w:type="dxa" w:w="80"/>
              <w:left w:type="dxa" w:w="110"/>
              <w:bottom w:type="dxa" w:w="80"/>
              <w:right w:type="dxa" w:w="110"/>
            </w:tcMar>
          </w:tcPr>
          <w:p>
            <w:r>
              <w:rPr>
                <w:b w:val="false"/>
                <w:bCs w:val="false"/>
                <w:color w:val="1A1A1A"/>
                <w:sz w:val="19"/>
                <w:szCs w:val="19"/>
              </w:rPr>
              <w:t xml:space="preserve">Routes the approved recommendation to the farmer dashboard and regional reporting view.</w:t>
            </w:r>
          </w:p>
        </w:tc>
      </w:tr>
      <w:tr>
        <w:tc>
          <w:tcPr>
            <w:tcW w:type="dxa" w:w="2800"/>
            <w:shd w:fill="FFFFFF" w:val="clear"/>
            <w:tcMar>
              <w:top w:type="dxa" w:w="80"/>
              <w:left w:type="dxa" w:w="110"/>
              <w:bottom w:type="dxa" w:w="80"/>
              <w:right w:type="dxa" w:w="110"/>
            </w:tcMar>
          </w:tcPr>
          <w:p>
            <w:r>
              <w:rPr>
                <w:b w:val="false"/>
                <w:bCs w:val="false"/>
                <w:color w:val="1A1A1A"/>
                <w:sz w:val="19"/>
                <w:szCs w:val="19"/>
              </w:rPr>
              <w:t xml:space="preserve">SINK (Target)</w:t>
            </w:r>
          </w:p>
        </w:tc>
        <w:tc>
          <w:tcPr>
            <w:tcW w:type="dxa" w:w="7000"/>
            <w:shd w:fill="FFFFFF" w:val="clear"/>
            <w:tcMar>
              <w:top w:type="dxa" w:w="80"/>
              <w:left w:type="dxa" w:w="110"/>
              <w:bottom w:type="dxa" w:w="80"/>
              <w:right w:type="dxa" w:w="110"/>
            </w:tcMar>
          </w:tcPr>
          <w:p>
            <w:r>
              <w:rPr>
                <w:b w:val="false"/>
                <w:bCs w:val="false"/>
                <w:color w:val="1A1A1A"/>
                <w:sz w:val="19"/>
                <w:szCs w:val="19"/>
              </w:rPr>
              <w:t xml:space="preserve">Farmer-facing dashboard displaying the recommendation and the simulated growth/status result.</w:t>
            </w:r>
          </w:p>
        </w:tc>
      </w:tr>
      <w:tr>
        <w:tc>
          <w:tcPr>
            <w:tcW w:type="dxa" w:w="2800"/>
            <w:shd w:fill="F8F6F0" w:val="clear"/>
            <w:tcMar>
              <w:top w:type="dxa" w:w="80"/>
              <w:left w:type="dxa" w:w="110"/>
              <w:bottom w:type="dxa" w:w="80"/>
              <w:right w:type="dxa" w:w="110"/>
            </w:tcMar>
          </w:tcPr>
          <w:p>
            <w:r>
              <w:rPr>
                <w:b w:val="false"/>
                <w:bCs w:val="false"/>
                <w:color w:val="1A1A1A"/>
                <w:sz w:val="19"/>
                <w:szCs w:val="19"/>
              </w:rPr>
              <w:t xml:space="preserve">MLFO</w:t>
            </w:r>
          </w:p>
        </w:tc>
        <w:tc>
          <w:tcPr>
            <w:tcW w:type="dxa" w:w="7000"/>
            <w:shd w:fill="F8F6F0" w:val="clear"/>
            <w:tcMar>
              <w:top w:type="dxa" w:w="80"/>
              <w:left w:type="dxa" w:w="110"/>
              <w:bottom w:type="dxa" w:w="80"/>
              <w:right w:type="dxa" w:w="110"/>
            </w:tcMar>
          </w:tcPr>
          <w:p>
            <w:r>
              <w:rPr>
                <w:b w:val="false"/>
                <w:bCs w:val="false"/>
                <w:color w:val="1A1A1A"/>
                <w:sz w:val="19"/>
                <w:szCs w:val="19"/>
              </w:rPr>
              <w:t xml:space="preserve">Orchestration logic sequencing PP → M → P → D for each simulation run and updating the rule set as more farm data accumulates.</w:t>
            </w:r>
          </w:p>
        </w:tc>
      </w:tr>
      <w:tr>
        <w:tc>
          <w:tcPr>
            <w:tcW w:type="dxa" w:w="2800"/>
            <w:shd w:fill="FFFFFF" w:val="clear"/>
            <w:tcMar>
              <w:top w:type="dxa" w:w="80"/>
              <w:left w:type="dxa" w:w="110"/>
              <w:bottom w:type="dxa" w:w="80"/>
              <w:right w:type="dxa" w:w="110"/>
            </w:tcMar>
          </w:tcPr>
          <w:p>
            <w:r>
              <w:rPr>
                <w:b w:val="false"/>
                <w:bCs w:val="false"/>
                <w:color w:val="1A1A1A"/>
                <w:sz w:val="19"/>
                <w:szCs w:val="19"/>
              </w:rPr>
              <w:t xml:space="preserve">ML Sandbox</w:t>
            </w:r>
          </w:p>
        </w:tc>
        <w:tc>
          <w:tcPr>
            <w:tcW w:type="dxa" w:w="7000"/>
            <w:shd w:fill="FFFFFF" w:val="clear"/>
            <w:tcMar>
              <w:top w:type="dxa" w:w="80"/>
              <w:left w:type="dxa" w:w="110"/>
              <w:bottom w:type="dxa" w:w="80"/>
              <w:right w:type="dxa" w:w="110"/>
            </w:tcMar>
          </w:tcPr>
          <w:p>
            <w:r>
              <w:rPr>
                <w:b w:val="false"/>
                <w:bCs w:val="false"/>
                <w:color w:val="1A1A1A"/>
                <w:sz w:val="19"/>
                <w:szCs w:val="19"/>
              </w:rPr>
              <w:t xml:space="preserve">The Sandbox screen itself: every candidate decision is simulated against a modelled crop before it would ever be recommended for a real field. This is TerraTwin’s core standards-alignment claim.</w:t>
            </w:r>
          </w:p>
        </w:tc>
      </w:tr>
    </w:tbl>
    <w:p>
      <w:pPr>
        <w:pStyle w:val="Heading2"/>
        <w:spacing w:after="100" w:before="260"/>
      </w:pPr>
      <w:r>
        <w:rPr>
          <w:b/>
          <w:bCs/>
          <w:color w:val="40916C"/>
          <w:sz w:val="24"/>
          <w:szCs w:val="24"/>
        </w:rPr>
        <w:t xml:space="preserve">1.2 Core Surfaces</w:t>
      </w:r>
    </w:p>
    <w:p>
      <w:pPr>
        <w:pStyle w:val="ListParagraph"/>
        <w:numPr>
          <w:ilvl w:val="0"/>
          <w:numId w:val="2"/>
        </w:numPr>
        <w:spacing w:after="85"/>
      </w:pPr>
      <w:r>
        <w:rPr>
          <w:color w:val="1A1A1A"/>
          <w:sz w:val="21"/>
          <w:szCs w:val="21"/>
        </w:rPr>
        <w:t xml:space="preserve">Authentication: real sign-in / create-account / log-out flow with session persistence (browser-local, prototype-grade).</w:t>
      </w:r>
    </w:p>
    <w:p>
      <w:pPr>
        <w:pStyle w:val="ListParagraph"/>
        <w:numPr>
          <w:ilvl w:val="0"/>
          <w:numId w:val="2"/>
        </w:numPr>
        <w:spacing w:after="85"/>
      </w:pPr>
      <w:r>
        <w:rPr>
          <w:color w:val="1A1A1A"/>
          <w:sz w:val="21"/>
          <w:szCs w:val="21"/>
        </w:rPr>
        <w:t xml:space="preserve">Dashboard: readiness score, priority gap, simulation history, and per-dimension breakdown at a glance.</w:t>
      </w:r>
    </w:p>
    <w:p>
      <w:pPr>
        <w:pStyle w:val="ListParagraph"/>
        <w:numPr>
          <w:ilvl w:val="0"/>
          <w:numId w:val="2"/>
        </w:numPr>
        <w:spacing w:after="85"/>
      </w:pPr>
      <w:r>
        <w:rPr>
          <w:color w:val="1A1A1A"/>
          <w:sz w:val="21"/>
          <w:szCs w:val="21"/>
        </w:rPr>
        <w:t xml:space="preserve">Readiness Assessment: 19 interactive questions with live-recalculating score and sticky summary panel.</w:t>
      </w:r>
    </w:p>
    <w:p>
      <w:pPr>
        <w:pStyle w:val="ListParagraph"/>
        <w:numPr>
          <w:ilvl w:val="0"/>
          <w:numId w:val="2"/>
        </w:numPr>
        <w:spacing w:after="85"/>
      </w:pPr>
      <w:r>
        <w:rPr>
          <w:color w:val="1A1A1A"/>
          <w:sz w:val="21"/>
          <w:szCs w:val="21"/>
        </w:rPr>
        <w:t xml:space="preserve">Sandbox (Digital Twin): crop picker (coffee, mango, corn), weekly decision UI, illustrated plant states using custom artwork, weather system, vitals bars, season log, and a live animated Y.3172 pipeline trace.</w:t>
      </w:r>
    </w:p>
    <w:p>
      <w:pPr>
        <w:pStyle w:val="ListParagraph"/>
        <w:numPr>
          <w:ilvl w:val="0"/>
          <w:numId w:val="2"/>
        </w:numPr>
        <w:spacing w:after="85"/>
      </w:pPr>
      <w:r>
        <w:rPr>
          <w:color w:val="1A1A1A"/>
          <w:sz w:val="21"/>
          <w:szCs w:val="21"/>
        </w:rPr>
        <w:t xml:space="preserve">My Plants: plant register with per-plant irrigation and fertilisation intervals, live due dates, overdue marking, photographs, and a per-plant scan history.</w:t>
      </w:r>
    </w:p>
    <w:p>
      <w:pPr>
        <w:pStyle w:val="ListParagraph"/>
        <w:numPr>
          <w:ilvl w:val="0"/>
          <w:numId w:val="2"/>
        </w:numPr>
        <w:spacing w:after="85"/>
      </w:pPr>
      <w:r>
        <w:rPr>
          <w:color w:val="1A1A1A"/>
          <w:sz w:val="21"/>
          <w:szCs w:val="21"/>
        </w:rPr>
        <w:t xml:space="preserve">Plant Doctor: device camera or photo upload, analysed by Google Gemini vision, with an on-device colour-analysis fallback when no key is configured.</w:t>
      </w:r>
    </w:p>
    <w:p>
      <w:pPr>
        <w:pStyle w:val="ListParagraph"/>
        <w:numPr>
          <w:ilvl w:val="0"/>
          <w:numId w:val="2"/>
        </w:numPr>
        <w:spacing w:after="85"/>
      </w:pPr>
      <w:r>
        <w:rPr>
          <w:color w:val="1A1A1A"/>
          <w:sz w:val="21"/>
          <w:szCs w:val="21"/>
        </w:rPr>
        <w:t xml:space="preserve">Weather Watch: seven-day forecast for the selected Jazan sub-region with a swing-detection alert engine and one-tap irrigation rescheduling around rain.</w:t>
      </w:r>
    </w:p>
    <w:p>
      <w:pPr>
        <w:pStyle w:val="ListParagraph"/>
        <w:numPr>
          <w:ilvl w:val="0"/>
          <w:numId w:val="2"/>
        </w:numPr>
        <w:spacing w:after="85"/>
      </w:pPr>
      <w:r>
        <w:rPr>
          <w:color w:val="1A1A1A"/>
          <w:sz w:val="21"/>
          <w:szCs w:val="21"/>
        </w:rPr>
        <w:t xml:space="preserve">Seasons: the Tihama planting calendar, what is worth sowing in the current season, and every reminder ordered by proximity to falling behind.</w:t>
      </w:r>
    </w:p>
    <w:p>
      <w:pPr>
        <w:pStyle w:val="ListParagraph"/>
        <w:numPr>
          <w:ilvl w:val="0"/>
          <w:numId w:val="2"/>
        </w:numPr>
        <w:spacing w:after="85"/>
      </w:pPr>
      <w:r>
        <w:rPr>
          <w:color w:val="1A1A1A"/>
          <w:sz w:val="21"/>
          <w:szCs w:val="21"/>
        </w:rPr>
        <w:t xml:space="preserve">Forum: community posts in text, photograph, or recorded voice note, tagged, searchable, with likes and replies.</w:t>
      </w:r>
    </w:p>
    <w:p>
      <w:pPr>
        <w:pStyle w:val="ListParagraph"/>
        <w:numPr>
          <w:ilvl w:val="0"/>
          <w:numId w:val="2"/>
        </w:numPr>
        <w:spacing w:after="85"/>
      </w:pPr>
      <w:r>
        <w:rPr>
          <w:color w:val="1A1A1A"/>
          <w:sz w:val="21"/>
          <w:szCs w:val="21"/>
        </w:rPr>
        <w:t xml:space="preserve">Market: seed, seedlings, plants, inputs and services listed in riyals by category, with the seller's own contact and a personal request log.</w:t>
      </w:r>
    </w:p>
    <w:p>
      <w:pPr>
        <w:pStyle w:val="ListParagraph"/>
        <w:numPr>
          <w:ilvl w:val="0"/>
          <w:numId w:val="2"/>
        </w:numPr>
        <w:spacing w:after="85"/>
      </w:pPr>
      <w:r>
        <w:rPr>
          <w:color w:val="1A1A1A"/>
          <w:sz w:val="21"/>
          <w:szCs w:val="21"/>
        </w:rPr>
        <w:t xml:space="preserve">Y.3172 Mapping: full node-by-node table rendered from the same knowledge base the app runs on.</w:t>
      </w:r>
    </w:p>
    <w:p>
      <w:pPr>
        <w:pStyle w:val="ListParagraph"/>
        <w:numPr>
          <w:ilvl w:val="0"/>
          <w:numId w:val="2"/>
        </w:numPr>
        <w:spacing w:after="85"/>
      </w:pPr>
      <w:r>
        <w:rPr>
          <w:color w:val="1A1A1A"/>
          <w:sz w:val="21"/>
          <w:szCs w:val="21"/>
        </w:rPr>
        <w:t xml:space="preserve">References: 13 primary-source links (ITU, SDAIA, MEWA, GASTAT, Vision 2030, FAO, ICBA, ICARDA, KAUST) with relevance notes.</w:t>
      </w:r>
    </w:p>
    <w:p>
      <w:pPr>
        <w:pStyle w:val="ListParagraph"/>
        <w:numPr>
          <w:ilvl w:val="0"/>
          <w:numId w:val="2"/>
        </w:numPr>
        <w:spacing w:after="85"/>
      </w:pPr>
      <w:r>
        <w:rPr>
          <w:color w:val="1A1A1A"/>
          <w:sz w:val="21"/>
          <w:szCs w:val="21"/>
        </w:rPr>
        <w:t xml:space="preserve">Farmy (Assistant): floating chatbot on every screen with greetings, symptom diagnosis, crop care, climate-matching, region recommendations, comparisons, and optional Gemini integration.</w:t>
      </w:r>
    </w:p>
    <w:p>
      <w:pPr>
        <w:pStyle w:val="ListParagraph"/>
        <w:numPr>
          <w:ilvl w:val="0"/>
          <w:numId w:val="2"/>
        </w:numPr>
        <w:spacing w:after="85"/>
      </w:pPr>
      <w:r>
        <w:rPr>
          <w:color w:val="1A1A1A"/>
          <w:sz w:val="21"/>
          <w:szCs w:val="21"/>
        </w:rPr>
        <w:t xml:space="preserve">Settings: optional Gemini API key entry (stored in browser only), model selection, and data reset.</w:t>
      </w:r>
    </w:p>
    <w:p>
      <w:pPr>
        <w:pStyle w:val="Heading2"/>
        <w:spacing w:after="100" w:before="260"/>
      </w:pPr>
      <w:r>
        <w:rPr>
          <w:b/>
          <w:bCs/>
          <w:color w:val="40916C"/>
          <w:sz w:val="24"/>
          <w:szCs w:val="24"/>
        </w:rPr>
        <w:t xml:space="preserve">1.3 Farm Operations Layer</w:t>
      </w:r>
    </w:p>
    <w:p>
      <w:pPr>
        <w:spacing w:after="130" w:line="290"/>
      </w:pPr>
      <w:r>
        <w:rPr>
          <w:b w:val="false"/>
          <w:bCs w:val="false"/>
          <w:i w:val="false"/>
          <w:iCs w:val="false"/>
          <w:color w:val="1A1A1A"/>
          <w:sz w:val="21"/>
          <w:szCs w:val="21"/>
        </w:rPr>
        <w:t xml:space="preserve">The readiness scorecard and the sandbox answer two questions: is this farm ready, and would this decision work. The operations layer answers a third — what should happen on the holding this week — and in doing so it generates the data the first two depend on. Readiness data that a farmer has to assemble specially is assembled once and never updated; readiness data that accumulates because the farmer is already using the tool to decide when to irrigate is the only kind that stays true. Every feature below feeds the SRC node of the same Y.3172 pipeline described in section 1.1.</w:t>
      </w:r>
    </w:p>
    <w:p>
      <w:pPr>
        <w:pStyle w:val="ListParagraph"/>
        <w:numPr>
          <w:ilvl w:val="0"/>
          <w:numId w:val="2"/>
        </w:numPr>
        <w:spacing w:after="85"/>
      </w:pPr>
      <w:r>
        <w:rPr>
          <w:b/>
          <w:bCs/>
          <w:color w:val="1A1A1A"/>
          <w:sz w:val="21"/>
          <w:szCs w:val="21"/>
        </w:rPr>
        <w:t xml:space="preserve">Plant register and scheduling. </w:t>
      </w:r>
      <w:r>
        <w:rPr>
          <w:color w:val="1A1A1A"/>
          <w:sz w:val="21"/>
          <w:szCs w:val="21"/>
        </w:rPr>
        <w:t xml:space="preserve">The farmer registers crop, plot, planting date, an optional photograph, and an irrigation and fertilisation interval per plant. Fifteen Jazan crops ship with default intervals and water volumes — mango, Khawlani coffee, banana, papaya, sorghum, sesame, pearl millet, date palm, citrus, guava, tomato, okra, cucumber and fodder alfalfa among them. The application then keeps a live schedule: next due date per plant, overdue marking, and a one-tap log that restarts the interval.</w:t>
      </w:r>
    </w:p>
    <w:p>
      <w:pPr>
        <w:pStyle w:val="ListParagraph"/>
        <w:numPr>
          <w:ilvl w:val="0"/>
          <w:numId w:val="2"/>
        </w:numPr>
        <w:spacing w:after="85"/>
      </w:pPr>
      <w:r>
        <w:rPr>
          <w:b/>
          <w:bCs/>
          <w:color w:val="1A1A1A"/>
          <w:sz w:val="21"/>
          <w:szCs w:val="21"/>
        </w:rPr>
        <w:t xml:space="preserve">Plant doctor (AI camera). </w:t>
      </w:r>
      <w:r>
        <w:rPr>
          <w:color w:val="1A1A1A"/>
          <w:sz w:val="21"/>
          <w:szCs w:val="21"/>
        </w:rPr>
        <w:t xml:space="preserve">A photograph of a leaf, a fruit, or a whole plant is analysed and returns the species, the life stage, a health score out of 100, a status band, a diagnosis, the likely causes, and concrete steps for the week. With a Google Gemini key the image is sent to Gemini vision with the Jazan context established in the prompt — humid coastal conditions, saline irrigation water, highland terraces. With no key an on-device analysis samples the image and measures healthy chlorophyll green against chlorotic and necrotic tissue, returning a coarser result that is labelled as the fallback it is. Scans attach to a registered plant, so a plant carries its own diagnostic history.</w:t>
      </w:r>
    </w:p>
    <w:p>
      <w:pPr>
        <w:pStyle w:val="ListParagraph"/>
        <w:numPr>
          <w:ilvl w:val="0"/>
          <w:numId w:val="2"/>
        </w:numPr>
        <w:spacing w:after="85"/>
      </w:pPr>
      <w:r>
        <w:rPr>
          <w:b/>
          <w:bCs/>
          <w:color w:val="1A1A1A"/>
          <w:sz w:val="21"/>
          <w:szCs w:val="21"/>
        </w:rPr>
        <w:t xml:space="preserve">Weather alerts. </w:t>
      </w:r>
      <w:r>
        <w:rPr>
          <w:color w:val="1A1A1A"/>
          <w:sz w:val="21"/>
          <w:szCs w:val="21"/>
        </w:rPr>
        <w:t xml:space="preserve">A seven-day forecast for the selected sub-region, read against what is planted. The engine raises only conditions that change a decision: heat stress above 42 °C, sharp day-to-day temperature swings of six degrees or more, incoming rain worth skipping an irrigation for, humid spells above 70% that build anthracnose and sigatoka pressure, wind above 35 km/h, and cold highland nights below 12 °C. Each alert carries the action, not only the number, and one control pushes irrigation dates past a forecast rain event and counts the litres saved. Forecasts come from a live service with a deterministic offline climate model as fallback, so the alert engine still runs with no network.</w:t>
      </w:r>
    </w:p>
    <w:p>
      <w:pPr>
        <w:pStyle w:val="ListParagraph"/>
        <w:numPr>
          <w:ilvl w:val="0"/>
          <w:numId w:val="2"/>
        </w:numPr>
        <w:spacing w:after="85"/>
      </w:pPr>
      <w:r>
        <w:rPr>
          <w:b/>
          <w:bCs/>
          <w:color w:val="1A1A1A"/>
          <w:sz w:val="21"/>
          <w:szCs w:val="21"/>
        </w:rPr>
        <w:t xml:space="preserve">Season calendar and reminders. </w:t>
      </w:r>
      <w:r>
        <w:rPr>
          <w:color w:val="1A1A1A"/>
          <w:sz w:val="21"/>
          <w:szCs w:val="21"/>
        </w:rPr>
        <w:t xml:space="preserve">The current Tihama season, the crops worth sowing in it, and every reminder the farm has — plant schedules plus the farmer's own notes — ordered by what is closest to falling behind. Highland terraces at Fifa and Al-Reeth run two to three weeks behind the coast, and the calendar says so.</w:t>
      </w:r>
    </w:p>
    <w:p>
      <w:pPr>
        <w:pStyle w:val="ListParagraph"/>
        <w:numPr>
          <w:ilvl w:val="0"/>
          <w:numId w:val="2"/>
        </w:numPr>
        <w:spacing w:after="85"/>
      </w:pPr>
      <w:r>
        <w:rPr>
          <w:b/>
          <w:bCs/>
          <w:color w:val="1A1A1A"/>
          <w:sz w:val="21"/>
          <w:szCs w:val="21"/>
        </w:rPr>
        <w:t xml:space="preserve">Farmers' forum. </w:t>
      </w:r>
      <w:r>
        <w:rPr>
          <w:color w:val="1A1A1A"/>
          <w:sz w:val="21"/>
          <w:szCs w:val="21"/>
        </w:rPr>
        <w:t xml:space="preserve">Posts in text, photograph, or recorded voice note, tagged by subject, searchable, with likes and replies. Voice is not a decorative feature: a significant share of the most experienced growers in the region would rather talk than type, and a tool that requires typing quietly excludes the knowledge it most needs. A Plant Doctor diagnosis can be pushed straight into a draft post with the photograph attached, turning a lower-confidence machine answer into a question for people farming the same soil.</w:t>
      </w:r>
    </w:p>
    <w:p>
      <w:pPr>
        <w:pStyle w:val="ListParagraph"/>
        <w:numPr>
          <w:ilvl w:val="0"/>
          <w:numId w:val="2"/>
        </w:numPr>
        <w:spacing w:after="85"/>
      </w:pPr>
      <w:r>
        <w:rPr>
          <w:b/>
          <w:bCs/>
          <w:color w:val="1A1A1A"/>
          <w:sz w:val="21"/>
          <w:szCs w:val="21"/>
        </w:rPr>
        <w:t xml:space="preserve">Local market. </w:t>
      </w:r>
      <w:r>
        <w:rPr>
          <w:color w:val="1A1A1A"/>
          <w:sz w:val="21"/>
          <w:szCs w:val="21"/>
        </w:rPr>
        <w:t xml:space="preserve">Seed, seedlings, plants, inputs and farm services priced in riyals, filtered by category and searchable, each carrying the seller's own contact. Any account can publish a listing. Requests are recorded with the seller's number; nothing is charged inside the application and no intermediary is inserted between the two parties.</w:t>
      </w:r>
    </w:p>
    <w:p>
      <w:r>
        <w:br w:type="page"/>
      </w:r>
    </w:p>
    <w:p>
      <w:pPr>
        <w:pStyle w:val="Heading1"/>
        <w:pBdr>
          <w:bottom w:val="single" w:color="40916C" w:sz="8" w:space="4"/>
        </w:pBdr>
        <w:spacing w:after="180" w:before="400"/>
      </w:pPr>
      <w:r>
        <w:rPr>
          <w:b/>
          <w:bCs/>
          <w:color w:val="1B4332"/>
          <w:sz w:val="30"/>
          <w:szCs w:val="30"/>
        </w:rPr>
        <w:t xml:space="preserve">2. Requirements and Design</w:t>
      </w:r>
    </w:p>
    <w:p>
      <w:pPr>
        <w:pStyle w:val="Heading2"/>
        <w:spacing w:after="100" w:before="260"/>
      </w:pPr>
      <w:r>
        <w:rPr>
          <w:b/>
          <w:bCs/>
          <w:color w:val="40916C"/>
          <w:sz w:val="24"/>
          <w:szCs w:val="24"/>
        </w:rPr>
        <w:t xml:space="preserve">2.1 Design Constraints (Requirements)</w:t>
      </w:r>
    </w:p>
    <w:p>
      <w:pPr>
        <w:pStyle w:val="ListParagraph"/>
        <w:numPr>
          <w:ilvl w:val="0"/>
          <w:numId w:val="2"/>
        </w:numPr>
        <w:spacing w:after="85"/>
      </w:pPr>
      <w:r>
        <w:rPr>
          <w:color w:val="1A1A1A"/>
          <w:sz w:val="21"/>
          <w:szCs w:val="21"/>
        </w:rPr>
        <w:t xml:space="preserve">Must run with no server, no licence, and no paid API key — accessibility was a design constraint, not an afterthought.</w:t>
      </w:r>
    </w:p>
    <w:p>
      <w:pPr>
        <w:pStyle w:val="ListParagraph"/>
        <w:numPr>
          <w:ilvl w:val="0"/>
          <w:numId w:val="2"/>
        </w:numPr>
        <w:spacing w:after="85"/>
      </w:pPr>
      <w:r>
        <w:rPr>
          <w:color w:val="1A1A1A"/>
          <w:sz w:val="21"/>
          <w:szCs w:val="21"/>
        </w:rPr>
        <w:t xml:space="preserve">Must work offline once loaded, since connectivity is unreliable on many farms.</w:t>
      </w:r>
    </w:p>
    <w:p>
      <w:pPr>
        <w:pStyle w:val="ListParagraph"/>
        <w:numPr>
          <w:ilvl w:val="0"/>
          <w:numId w:val="2"/>
        </w:numPr>
        <w:spacing w:after="85"/>
      </w:pPr>
      <w:r>
        <w:rPr>
          <w:color w:val="1A1A1A"/>
          <w:sz w:val="21"/>
          <w:szCs w:val="21"/>
        </w:rPr>
        <w:t xml:space="preserve">Must be auditable against ITU-T Y.3172 clause 8.1, node by node — the architecture is expressed in the standard’s own vocabulary.</w:t>
      </w:r>
    </w:p>
    <w:p>
      <w:pPr>
        <w:pStyle w:val="ListParagraph"/>
        <w:numPr>
          <w:ilvl w:val="0"/>
          <w:numId w:val="2"/>
        </w:numPr>
        <w:spacing w:after="85"/>
      </w:pPr>
      <w:r>
        <w:rPr>
          <w:color w:val="1A1A1A"/>
          <w:sz w:val="21"/>
          <w:szCs w:val="21"/>
        </w:rPr>
        <w:t xml:space="preserve">Must be openable and editable by anyone with a text editor or VS Code — no proprietary frameworks, build steps, or bundlers.</w:t>
      </w:r>
    </w:p>
    <w:p>
      <w:pPr>
        <w:pStyle w:val="ListParagraph"/>
        <w:numPr>
          <w:ilvl w:val="0"/>
          <w:numId w:val="2"/>
        </w:numPr>
        <w:spacing w:after="85"/>
      </w:pPr>
      <w:r>
        <w:rPr>
          <w:color w:val="1A1A1A"/>
          <w:sz w:val="21"/>
          <w:szCs w:val="21"/>
        </w:rPr>
        <w:t xml:space="preserve">Must run on any modern browser (Chrome, Edge, Firefox, Safari) and be responsive down to mobile widths.</w:t>
      </w:r>
    </w:p>
    <w:p>
      <w:pPr>
        <w:pStyle w:val="Heading2"/>
        <w:spacing w:after="100" w:before="260"/>
      </w:pPr>
      <w:r>
        <w:rPr>
          <w:b/>
          <w:bCs/>
          <w:color w:val="40916C"/>
          <w:sz w:val="24"/>
          <w:szCs w:val="24"/>
        </w:rPr>
        <w:t xml:space="preserve">2.2 Technical Design</w:t>
      </w:r>
    </w:p>
    <w:p>
      <w:pPr>
        <w:pStyle w:val="ListParagraph"/>
        <w:numPr>
          <w:ilvl w:val="0"/>
          <w:numId w:val="2"/>
        </w:numPr>
        <w:spacing w:after="85"/>
      </w:pPr>
      <w:r>
        <w:rPr>
          <w:color w:val="1A1A1A"/>
          <w:sz w:val="21"/>
          <w:szCs w:val="21"/>
        </w:rPr>
        <w:t xml:space="preserve">Language: plain HTML5, CSS3, and vanilla JavaScript (ES2020+). No framework.</w:t>
      </w:r>
    </w:p>
    <w:p>
      <w:pPr>
        <w:pStyle w:val="ListParagraph"/>
        <w:numPr>
          <w:ilvl w:val="0"/>
          <w:numId w:val="2"/>
        </w:numPr>
        <w:spacing w:after="85"/>
      </w:pPr>
      <w:r>
        <w:rPr>
          <w:color w:val="1A1A1A"/>
          <w:sz w:val="21"/>
          <w:szCs w:val="21"/>
        </w:rPr>
        <w:t xml:space="preserve">Persistence: browser localStorage for user accounts, session state, readiness answers, sandbox history, and chat.</w:t>
      </w:r>
    </w:p>
    <w:p>
      <w:pPr>
        <w:pStyle w:val="ListParagraph"/>
        <w:numPr>
          <w:ilvl w:val="0"/>
          <w:numId w:val="2"/>
        </w:numPr>
        <w:spacing w:after="85"/>
      </w:pPr>
      <w:r>
        <w:rPr>
          <w:color w:val="1A1A1A"/>
          <w:sz w:val="21"/>
          <w:szCs w:val="21"/>
        </w:rPr>
        <w:t xml:space="preserve">Knowledge base: modular JavaScript files (knowledge-base.js + 7 module files: kb-fruits.js, kb-vegetables.js, kb-trees-care.js, kb-pests-nutrition.js, kb-soil-water.js, kb-regions-livestock.js, kb-extended.js) totalling 509 topic entries.</w:t>
      </w:r>
    </w:p>
    <w:p>
      <w:pPr>
        <w:pStyle w:val="ListParagraph"/>
        <w:numPr>
          <w:ilvl w:val="0"/>
          <w:numId w:val="2"/>
        </w:numPr>
        <w:spacing w:after="85"/>
      </w:pPr>
      <w:r>
        <w:rPr>
          <w:color w:val="1A1A1A"/>
          <w:sz w:val="21"/>
          <w:szCs w:val="21"/>
        </w:rPr>
        <w:t xml:space="preserve">Climate engine: 60 crop profiles (chill-hour requirement, heat tolerance) × 15 Saudi regional climate profiles (summer max, winter min, chill hours, humidity, rainfall), producing 900 reasoned crop-region verdicts through a matching function.</w:t>
      </w:r>
    </w:p>
    <w:p>
      <w:pPr>
        <w:pStyle w:val="ListParagraph"/>
        <w:numPr>
          <w:ilvl w:val="0"/>
          <w:numId w:val="2"/>
        </w:numPr>
        <w:spacing w:after="85"/>
      </w:pPr>
      <w:r>
        <w:rPr>
          <w:color w:val="1A1A1A"/>
          <w:sz w:val="21"/>
          <w:szCs w:val="21"/>
        </w:rPr>
        <w:t xml:space="preserve">Sandbox simulation: rule-based crop model with weekly ticks, weather randomisation, moisture/nutrient/pest/health state machine, and policy gating. Balance-tested across 900 simulated seasons (skilled play wins 69–97% depending on crop; neglect fails 100%).</w:t>
      </w:r>
    </w:p>
    <w:p>
      <w:pPr>
        <w:pStyle w:val="ListParagraph"/>
        <w:numPr>
          <w:ilvl w:val="0"/>
          <w:numId w:val="2"/>
        </w:numPr>
        <w:spacing w:after="85"/>
      </w:pPr>
      <w:r>
        <w:rPr>
          <w:color w:val="1A1A1A"/>
          <w:sz w:val="21"/>
          <w:szCs w:val="21"/>
        </w:rPr>
        <w:t xml:space="preserve">Pipeline trace: a renderer that lights nodes in sequence on every decision, with the Policy node turning red on a block — making the standard visible as behaviour.</w:t>
      </w:r>
    </w:p>
    <w:p>
      <w:pPr>
        <w:pStyle w:val="ListParagraph"/>
        <w:numPr>
          <w:ilvl w:val="0"/>
          <w:numId w:val="2"/>
        </w:numPr>
        <w:spacing w:after="85"/>
      </w:pPr>
      <w:r>
        <w:rPr>
          <w:color w:val="1A1A1A"/>
          <w:sz w:val="21"/>
          <w:szCs w:val="21"/>
        </w:rPr>
        <w:t xml:space="preserve">Assistant (Farmy): keyword-scored retrieval over the knowledge corpus, with small-talk handling, symptom diagnosis, crop-region climate matching, region recommendations, and comparisons. Optional Gemini API integration with the full knowledge base passed as grounding context.</w:t>
      </w:r>
    </w:p>
    <w:p>
      <w:pPr>
        <w:pStyle w:val="ListParagraph"/>
        <w:numPr>
          <w:ilvl w:val="0"/>
          <w:numId w:val="2"/>
        </w:numPr>
        <w:spacing w:after="85"/>
      </w:pPr>
      <w:r>
        <w:rPr>
          <w:color w:val="1A1A1A"/>
          <w:sz w:val="21"/>
          <w:szCs w:val="21"/>
        </w:rPr>
        <w:t xml:space="preserve">Custom artwork: original illustration set (soil bowl, three seed types, three healthy plants, three dead plants, Farmy mascot, and a custom logo) all placed at native aspect ratios.</w:t>
      </w:r>
    </w:p>
    <w:p>
      <w:pPr>
        <w:pStyle w:val="ListParagraph"/>
        <w:numPr>
          <w:ilvl w:val="0"/>
          <w:numId w:val="2"/>
        </w:numPr>
        <w:spacing w:after="85"/>
      </w:pPr>
      <w:r>
        <w:rPr>
          <w:color w:val="1A1A1A"/>
          <w:sz w:val="21"/>
          <w:szCs w:val="21"/>
        </w:rPr>
        <w:t xml:space="preserve">Vision integration: Google Gemini vision called with an inline base64 image and a context-setting prompt, returning structured JSON (species, stage, health, status, diagnosis, causes, actions, confidence). A canvas-based colour-statistics routine provides the offline fallback path.</w:t>
      </w:r>
    </w:p>
    <w:p>
      <w:pPr>
        <w:pStyle w:val="ListParagraph"/>
        <w:numPr>
          <w:ilvl w:val="0"/>
          <w:numId w:val="2"/>
        </w:numPr>
        <w:spacing w:after="85"/>
      </w:pPr>
      <w:r>
        <w:rPr>
          <w:color w:val="1A1A1A"/>
          <w:sz w:val="21"/>
          <w:szCs w:val="21"/>
        </w:rPr>
        <w:t xml:space="preserve">Weather: a live seven-day forecast queried per sub-region, with a deterministic seeded climate model as offline fallback, and a rule engine converting the forecast into alerts tied to the registered plants.</w:t>
      </w:r>
    </w:p>
    <w:p>
      <w:pPr>
        <w:pStyle w:val="ListParagraph"/>
        <w:numPr>
          <w:ilvl w:val="0"/>
          <w:numId w:val="2"/>
        </w:numPr>
        <w:spacing w:after="85"/>
      </w:pPr>
      <w:r>
        <w:rPr>
          <w:color w:val="1A1A1A"/>
          <w:sz w:val="21"/>
          <w:szCs w:val="21"/>
        </w:rPr>
        <w:t xml:space="preserve">Media capture: getUserMedia for the camera and MediaRecorder for voice notes, with a file-upload path for both where the browser withholds device access.</w:t>
      </w:r>
    </w:p>
    <w:p>
      <w:pPr>
        <w:pStyle w:val="ListParagraph"/>
        <w:numPr>
          <w:ilvl w:val="0"/>
          <w:numId w:val="2"/>
        </w:numPr>
        <w:spacing w:after="85"/>
      </w:pPr>
      <w:r>
        <w:rPr>
          <w:color w:val="1A1A1A"/>
          <w:sz w:val="21"/>
          <w:szCs w:val="21"/>
        </w:rPr>
        <w:t xml:space="preserve">Community persistence: forum posts and market listings held in a shared browser store, separate from per-account state.</w:t>
      </w:r>
    </w:p>
    <w:p>
      <w:pPr>
        <w:pStyle w:val="Heading2"/>
        <w:spacing w:after="100" w:before="260"/>
      </w:pPr>
      <w:r>
        <w:rPr>
          <w:b/>
          <w:bCs/>
          <w:color w:val="40916C"/>
          <w:sz w:val="24"/>
          <w:szCs w:val="24"/>
        </w:rPr>
        <w:t xml:space="preserve">2.3 Project Structure</w:t>
      </w:r>
    </w:p>
    <w:p>
      <w:pPr>
        <w:spacing w:after="130" w:line="290"/>
      </w:pPr>
      <w:r>
        <w:rPr>
          <w:b w:val="false"/>
          <w:bCs w:val="false"/>
          <w:i w:val="false"/>
          <w:iCs w:val="false"/>
          <w:color w:val="1A1A1A"/>
          <w:sz w:val="21"/>
          <w:szCs w:val="21"/>
        </w:rPr>
        <w:t xml:space="preserve">The project ships in two equivalent forms: a single self-contained HTML file that opens by double-click, and an editable VS Code project — index.html, four stylesheets and nineteen numbered JavaScript modules loaded in dependency order, with a Live Server configuration. No node_modules, no package.json, no build output. Camera and microphone access requires the project to be served over localhost or https; every other feature works either way.</w:t>
      </w:r>
    </w:p>
    <w:p>
      <w:r>
        <w:br w:type="page"/>
      </w:r>
    </w:p>
    <w:p>
      <w:pPr>
        <w:pStyle w:val="Heading1"/>
        <w:pBdr>
          <w:bottom w:val="single" w:color="40916C" w:sz="8" w:space="4"/>
        </w:pBdr>
        <w:spacing w:after="180" w:before="400"/>
      </w:pPr>
      <w:r>
        <w:rPr>
          <w:b/>
          <w:bCs/>
          <w:color w:val="1B4332"/>
          <w:sz w:val="30"/>
          <w:szCs w:val="30"/>
        </w:rPr>
        <w:t xml:space="preserve">3. Value Added of the Application</w:t>
      </w:r>
    </w:p>
    <w:p>
      <w:pPr>
        <w:spacing w:after="130" w:line="290"/>
      </w:pPr>
      <w:r>
        <w:rPr>
          <w:b w:val="false"/>
          <w:bCs w:val="false"/>
          <w:i w:val="false"/>
          <w:iCs w:val="false"/>
          <w:color w:val="1A1A1A"/>
          <w:sz w:val="21"/>
          <w:szCs w:val="21"/>
        </w:rPr>
        <w:t xml:space="preserve">TerraTwin adds value that no existing tool in the region provides:</w:t>
      </w:r>
    </w:p>
    <w:p>
      <w:pPr>
        <w:pStyle w:val="Heading2"/>
        <w:spacing w:after="100" w:before="260"/>
      </w:pPr>
      <w:r>
        <w:rPr>
          <w:b/>
          <w:bCs/>
          <w:color w:val="40916C"/>
          <w:sz w:val="24"/>
          <w:szCs w:val="24"/>
        </w:rPr>
        <w:t xml:space="preserve">3.1 Invest Where It Counts</w:t>
      </w:r>
    </w:p>
    <w:p>
      <w:pPr>
        <w:spacing w:after="130" w:line="290"/>
      </w:pPr>
      <w:r>
        <w:rPr>
          <w:b w:val="false"/>
          <w:bCs w:val="false"/>
          <w:i w:val="false"/>
          <w:iCs w:val="false"/>
          <w:color w:val="1A1A1A"/>
          <w:sz w:val="21"/>
          <w:szCs w:val="21"/>
        </w:rPr>
        <w:t xml:space="preserve">Readiness is measured before any investment, so money goes to the gap that actually limits the farm — not to hardware or software the farm cannot yet use. The rubric names the weakest dimension explicitly.</w:t>
      </w:r>
    </w:p>
    <w:p>
      <w:pPr>
        <w:pStyle w:val="Heading2"/>
        <w:spacing w:after="100" w:before="260"/>
      </w:pPr>
      <w:r>
        <w:rPr>
          <w:b/>
          <w:bCs/>
          <w:color w:val="40916C"/>
          <w:sz w:val="24"/>
          <w:szCs w:val="24"/>
        </w:rPr>
        <w:t xml:space="preserve">3.2 Failure Without Cost</w:t>
      </w:r>
    </w:p>
    <w:p>
      <w:pPr>
        <w:spacing w:after="130" w:line="290"/>
      </w:pPr>
      <w:r>
        <w:rPr>
          <w:b w:val="false"/>
          <w:bCs w:val="false"/>
          <w:i w:val="false"/>
          <w:iCs w:val="false"/>
          <w:color w:val="1A1A1A"/>
          <w:sz w:val="21"/>
          <w:szCs w:val="21"/>
        </w:rPr>
        <w:t xml:space="preserve">A wrong irrigation, fertiliser, or pest decision plays out in simulation. The lesson is kept; the season is not lost; no water, labour, or inputs are consumed. This is the core value proposition of the Y.3172 ML Sandbox concept.</w:t>
      </w:r>
    </w:p>
    <w:p>
      <w:pPr>
        <w:pStyle w:val="Heading2"/>
        <w:spacing w:after="100" w:before="260"/>
      </w:pPr>
      <w:r>
        <w:rPr>
          <w:b/>
          <w:bCs/>
          <w:color w:val="40916C"/>
          <w:sz w:val="24"/>
          <w:szCs w:val="24"/>
        </w:rPr>
        <w:t xml:space="preserve">3.3 Governance Made Visible</w:t>
      </w:r>
    </w:p>
    <w:p>
      <w:pPr>
        <w:spacing w:after="130" w:line="290"/>
      </w:pPr>
      <w:r>
        <w:rPr>
          <w:b w:val="false"/>
          <w:bCs w:val="false"/>
          <w:i w:val="false"/>
          <w:iCs w:val="false"/>
          <w:color w:val="1A1A1A"/>
          <w:sz w:val="21"/>
          <w:szCs w:val="21"/>
        </w:rPr>
        <w:t xml:space="preserve">Safety and PDPL compliance checks are a named, executable pipeline node (P) that the user can watch operate and whose decisions are logged. This is fundamentally different from governance as a separate policy document that may or may not be followed.</w:t>
      </w:r>
    </w:p>
    <w:p>
      <w:pPr>
        <w:pStyle w:val="Heading2"/>
        <w:spacing w:after="100" w:before="260"/>
      </w:pPr>
      <w:r>
        <w:rPr>
          <w:b/>
          <w:bCs/>
          <w:color w:val="40916C"/>
          <w:sz w:val="24"/>
          <w:szCs w:val="24"/>
        </w:rPr>
        <w:t xml:space="preserve">3.4 Access Without Barriers</w:t>
      </w:r>
    </w:p>
    <w:p>
      <w:pPr>
        <w:spacing w:after="130" w:line="290"/>
      </w:pPr>
      <w:r>
        <w:rPr>
          <w:b w:val="false"/>
          <w:bCs w:val="false"/>
          <w:i w:val="false"/>
          <w:iCs w:val="false"/>
          <w:color w:val="1A1A1A"/>
          <w:sz w:val="21"/>
          <w:szCs w:val="21"/>
        </w:rPr>
        <w:t xml:space="preserve">The application runs offline, is free, requires no licence and no API key. A smallholder with a smartphone and no internet faces the same tool as a large operation with broadband. No account with any third party is needed.</w:t>
      </w:r>
    </w:p>
    <w:p>
      <w:pPr>
        <w:pStyle w:val="Heading2"/>
        <w:spacing w:after="100" w:before="260"/>
      </w:pPr>
      <w:r>
        <w:rPr>
          <w:b/>
          <w:bCs/>
          <w:color w:val="40916C"/>
          <w:sz w:val="24"/>
          <w:szCs w:val="24"/>
        </w:rPr>
        <w:t xml:space="preserve">3.5 Knowledge in One Place</w:t>
      </w:r>
    </w:p>
    <w:p>
      <w:pPr>
        <w:spacing w:after="130" w:line="290"/>
      </w:pPr>
      <w:r>
        <w:rPr>
          <w:b w:val="false"/>
          <w:bCs w:val="false"/>
          <w:i w:val="false"/>
          <w:iCs w:val="false"/>
          <w:color w:val="1A1A1A"/>
          <w:sz w:val="21"/>
          <w:szCs w:val="21"/>
        </w:rPr>
        <w:t xml:space="preserve">509 topics of crop, soil, water, pest, and livestock guidance — including care instructions, symptom diagnosis, and 900 crop-region climate verdicts — delivered through a conversational assistant that works without network access.</w:t>
      </w:r>
    </w:p>
    <w:p>
      <w:pPr>
        <w:pStyle w:val="Heading2"/>
        <w:spacing w:after="100" w:before="260"/>
      </w:pPr>
      <w:r>
        <w:rPr>
          <w:b/>
          <w:bCs/>
          <w:color w:val="40916C"/>
          <w:sz w:val="24"/>
          <w:szCs w:val="24"/>
        </w:rPr>
        <w:t xml:space="preserve">3.6 Reusable by Design</w:t>
      </w:r>
    </w:p>
    <w:p>
      <w:pPr>
        <w:spacing w:after="130" w:line="290"/>
      </w:pPr>
      <w:r>
        <w:rPr>
          <w:b w:val="false"/>
          <w:bCs w:val="false"/>
          <w:i w:val="false"/>
          <w:iCs w:val="false"/>
          <w:color w:val="1A1A1A"/>
          <w:sz w:val="21"/>
          <w:szCs w:val="21"/>
        </w:rPr>
        <w:t xml:space="preserve">Because the architecture is expressed in ITU-T Y.3172 terms with the same vocabulary and node names, any engineer familiar with the standard can read the implementation, verify it, and adapt it to a different sector, crop, or country. The knowledge base is modular and extendable without touching application logic.</w:t>
      </w:r>
    </w:p>
    <w:p>
      <w:pPr>
        <w:pStyle w:val="Heading2"/>
        <w:spacing w:after="100" w:before="260"/>
      </w:pPr>
      <w:r>
        <w:rPr>
          <w:b/>
          <w:bCs/>
          <w:color w:val="40916C"/>
          <w:sz w:val="24"/>
          <w:szCs w:val="24"/>
        </w:rPr>
        <w:t xml:space="preserve">3.7 Readiness That Maintains Itself</w:t>
      </w:r>
    </w:p>
    <w:p>
      <w:pPr>
        <w:spacing w:after="130" w:line="290"/>
      </w:pPr>
      <w:r>
        <w:rPr>
          <w:b w:val="false"/>
          <w:bCs w:val="false"/>
          <w:i w:val="false"/>
          <w:iCs w:val="false"/>
          <w:color w:val="1A1A1A"/>
          <w:sz w:val="21"/>
          <w:szCs w:val="21"/>
        </w:rPr>
        <w:t xml:space="preserve">The operations layer closes the loop the readiness assessment opens. Every irrigation logged, every scan saved, and every schedule kept is a data point the farm did not have before — which means the Data Readiness dimension, the heaviest weighted of the five, improves as a by-product of ordinary use rather than as a separate compliance exercise. The record a farm accumulates this way is also precisely the dataset a trained model would need, so the application generates its own successor's training data.</w:t>
      </w:r>
    </w:p>
    <w:p>
      <w:pPr>
        <w:pStyle w:val="Heading2"/>
        <w:spacing w:after="100" w:before="260"/>
      </w:pPr>
      <w:r>
        <w:rPr>
          <w:b/>
          <w:bCs/>
          <w:color w:val="40916C"/>
          <w:sz w:val="24"/>
          <w:szCs w:val="24"/>
        </w:rPr>
        <w:t xml:space="preserve">3.8 Water Saved Where the Decision Is Made</w:t>
      </w:r>
    </w:p>
    <w:p>
      <w:pPr>
        <w:spacing w:after="130" w:line="290"/>
      </w:pPr>
      <w:r>
        <w:rPr>
          <w:b w:val="false"/>
          <w:bCs w:val="false"/>
          <w:i w:val="false"/>
          <w:iCs w:val="false"/>
          <w:color w:val="1A1A1A"/>
          <w:sz w:val="21"/>
          <w:szCs w:val="21"/>
        </w:rPr>
        <w:t xml:space="preserve">National water-efficiency targets are measured in aggregate; irrigation decisions are made per plot, per week, by one person. Pushing a schedule past a forecast rain event and counting the litres saved puts the measurement at the point of the decision, which is the only place it can change behaviour.</w:t>
      </w:r>
    </w:p>
    <w:p>
      <w:r>
        <w:br w:type="page"/>
      </w:r>
    </w:p>
    <w:p>
      <w:pPr>
        <w:pStyle w:val="Heading1"/>
        <w:pBdr>
          <w:bottom w:val="single" w:color="40916C" w:sz="8" w:space="4"/>
        </w:pBdr>
        <w:spacing w:after="180" w:before="400"/>
      </w:pPr>
      <w:r>
        <w:rPr>
          <w:b/>
          <w:bCs/>
          <w:color w:val="1B4332"/>
          <w:sz w:val="30"/>
          <w:szCs w:val="30"/>
        </w:rPr>
        <w:t xml:space="preserve">4. Policy Gaps Identified</w:t>
      </w:r>
    </w:p>
    <w:p>
      <w:pPr>
        <w:spacing w:after="130" w:line="290"/>
      </w:pPr>
      <w:r>
        <w:rPr>
          <w:b w:val="false"/>
          <w:bCs w:val="false"/>
          <w:i w:val="false"/>
          <w:iCs w:val="false"/>
          <w:color w:val="1A1A1A"/>
          <w:sz w:val="21"/>
          <w:szCs w:val="21"/>
        </w:rPr>
        <w:t xml:space="preserve">TerraTwin was built to address five specific gaps between national AI strategy and farm-level reality:</w:t>
      </w:r>
    </w:p>
    <w:p>
      <w:pPr>
        <w:pStyle w:val="Heading2"/>
        <w:spacing w:after="100" w:before="260"/>
      </w:pPr>
      <w:r>
        <w:rPr>
          <w:b/>
          <w:bCs/>
          <w:color w:val="40916C"/>
          <w:sz w:val="24"/>
          <w:szCs w:val="24"/>
        </w:rPr>
        <w:t xml:space="preserve">Gap 1: No Farm-Level Readiness Instrument</w:t>
      </w:r>
    </w:p>
    <w:p>
      <w:pPr>
        <w:spacing w:after="130" w:line="290"/>
      </w:pPr>
      <w:r>
        <w:rPr>
          <w:b w:val="false"/>
          <w:bCs w:val="false"/>
          <w:i w:val="false"/>
          <w:iCs w:val="false"/>
          <w:color w:val="1A1A1A"/>
          <w:sz w:val="21"/>
          <w:szCs w:val="21"/>
        </w:rPr>
        <w:t xml:space="preserve">The National Strategy for Data and AI (NSDAI) sets direction for sector-by-sector AI adoption, but no instrument exists to measure whether an individual farm can actually absorb it. Without measurement, support is allocated by assumption rather than evidence.</w:t>
      </w:r>
    </w:p>
    <w:p>
      <w:pPr>
        <w:spacing w:after="130" w:line="290"/>
      </w:pPr>
      <w:r>
        <w:rPr>
          <w:b w:val="false"/>
          <w:bCs w:val="false"/>
          <w:i/>
          <w:iCs/>
          <w:color w:val="1A1A1A"/>
          <w:sz w:val="21"/>
          <w:szCs w:val="21"/>
        </w:rPr>
        <w:t xml:space="preserve">How TerraTwin addresses it: A five-dimension rubric producing a comparable score (out of 100) and a named priority gap, so each farm’s readiness can be assessed individually and compared across a region.</w:t>
      </w:r>
    </w:p>
    <w:p>
      <w:pPr>
        <w:pStyle w:val="Heading2"/>
        <w:spacing w:after="100" w:before="260"/>
      </w:pPr>
      <w:r>
        <w:rPr>
          <w:b/>
          <w:bCs/>
          <w:color w:val="40916C"/>
          <w:sz w:val="24"/>
          <w:szCs w:val="24"/>
        </w:rPr>
        <w:t xml:space="preserve">Gap 2: No Pre-Deployment Validation Requirement</w:t>
      </w:r>
    </w:p>
    <w:p>
      <w:pPr>
        <w:spacing w:after="130" w:line="290"/>
      </w:pPr>
      <w:r>
        <w:rPr>
          <w:b w:val="false"/>
          <w:bCs w:val="false"/>
          <w:i w:val="false"/>
          <w:iCs w:val="false"/>
          <w:color w:val="1A1A1A"/>
          <w:sz w:val="21"/>
          <w:szCs w:val="21"/>
        </w:rPr>
        <w:t xml:space="preserve">Agricultural AI recommendations may reach a farmer without being tested against safety or agronomic sense in the local context. There is no mechanism requiring that a recommendation be validated before it is acted upon.</w:t>
      </w:r>
    </w:p>
    <w:p>
      <w:pPr>
        <w:spacing w:after="130" w:line="290"/>
      </w:pPr>
      <w:r>
        <w:rPr>
          <w:b w:val="false"/>
          <w:bCs w:val="false"/>
          <w:i/>
          <w:iCs/>
          <w:color w:val="1A1A1A"/>
          <w:sz w:val="21"/>
          <w:szCs w:val="21"/>
        </w:rPr>
        <w:t xml:space="preserve">How TerraTwin addresses it: The sandbox evaluates every candidate decision in isolation before it is issued. The Policy (P) node checks it against governance and safety rules. If a rule fails, the action is blocked and never reaches the user.</w:t>
      </w:r>
    </w:p>
    <w:p>
      <w:pPr>
        <w:pStyle w:val="Heading2"/>
        <w:spacing w:after="100" w:before="260"/>
      </w:pPr>
      <w:r>
        <w:rPr>
          <w:b/>
          <w:bCs/>
          <w:color w:val="40916C"/>
          <w:sz w:val="24"/>
          <w:szCs w:val="24"/>
        </w:rPr>
        <w:t xml:space="preserve">Gap 3: Consent and Data-Handling Practice Below Policy Level</w:t>
      </w:r>
    </w:p>
    <w:p>
      <w:pPr>
        <w:spacing w:after="130" w:line="290"/>
      </w:pPr>
      <w:r>
        <w:rPr>
          <w:b w:val="false"/>
          <w:bCs w:val="false"/>
          <w:i w:val="false"/>
          <w:iCs w:val="false"/>
          <w:color w:val="1A1A1A"/>
          <w:sz w:val="21"/>
          <w:szCs w:val="21"/>
        </w:rPr>
        <w:t xml:space="preserve">The Personal Data Protection Law (PDPL) sets obligations, but at the smallholder level, data collection often proceeds without any formal consent or handling practice. The gap is not in the law but in its application on the ground.</w:t>
      </w:r>
    </w:p>
    <w:p>
      <w:pPr>
        <w:spacing w:after="130" w:line="290"/>
      </w:pPr>
      <w:r>
        <w:rPr>
          <w:b w:val="false"/>
          <w:bCs w:val="false"/>
          <w:i/>
          <w:iCs/>
          <w:color w:val="1A1A1A"/>
          <w:sz w:val="21"/>
          <w:szCs w:val="21"/>
        </w:rPr>
        <w:t xml:space="preserve">How TerraTwin addresses it: The Governance Readiness dimension includes explicit questions about consent practice and PDPL awareness. The Policy node enforces PDPL-aligned data-handling flags at the system level before any data would be shared.</w:t>
      </w:r>
    </w:p>
    <w:p>
      <w:pPr>
        <w:pStyle w:val="Heading2"/>
        <w:spacing w:after="100" w:before="260"/>
      </w:pPr>
      <w:r>
        <w:rPr>
          <w:b/>
          <w:bCs/>
          <w:color w:val="40916C"/>
          <w:sz w:val="24"/>
          <w:szCs w:val="24"/>
        </w:rPr>
        <w:t xml:space="preserve">Gap 4: No Climate-Tied Crop Suitability Guidance</w:t>
      </w:r>
    </w:p>
    <w:p>
      <w:pPr>
        <w:spacing w:after="130" w:line="290"/>
      </w:pPr>
      <w:r>
        <w:rPr>
          <w:b w:val="false"/>
          <w:bCs w:val="false"/>
          <w:i w:val="false"/>
          <w:iCs w:val="false"/>
          <w:color w:val="1A1A1A"/>
          <w:sz w:val="21"/>
          <w:szCs w:val="21"/>
        </w:rPr>
        <w:t xml:space="preserve">Climate adaptation planning lacks accessible, region-specific guidance on which crops remain viable as conditions change. Growers often attempt crops unsuited to their region’s chill hours or heat profile, wasting water and seasons.</w:t>
      </w:r>
    </w:p>
    <w:p>
      <w:pPr>
        <w:spacing w:after="130" w:line="290"/>
      </w:pPr>
      <w:r>
        <w:rPr>
          <w:b w:val="false"/>
          <w:bCs w:val="false"/>
          <w:i/>
          <w:iCs/>
          <w:color w:val="1A1A1A"/>
          <w:sz w:val="21"/>
          <w:szCs w:val="21"/>
        </w:rPr>
        <w:t xml:space="preserve">How TerraTwin addresses it: A documented climate-matching method covering 60 crops against 15 regional climate profiles (900 combinations), returning a reasoned verdict (suitable, greenhouse-only, highland-only, frost-risk, or unsuitable) with the scientific basis explained.</w:t>
      </w:r>
    </w:p>
    <w:p>
      <w:pPr>
        <w:pStyle w:val="Heading2"/>
        <w:spacing w:after="100" w:before="260"/>
      </w:pPr>
      <w:r>
        <w:rPr>
          <w:b/>
          <w:bCs/>
          <w:color w:val="40916C"/>
          <w:sz w:val="24"/>
          <w:szCs w:val="24"/>
        </w:rPr>
        <w:t xml:space="preserve">Gap 5: No Continuous Farm-Level Data Record</w:t>
      </w:r>
    </w:p>
    <w:p>
      <w:pPr>
        <w:spacing w:after="130" w:line="290"/>
      </w:pPr>
      <w:r>
        <w:rPr>
          <w:b w:val="false"/>
          <w:bCs w:val="false"/>
          <w:i w:val="false"/>
          <w:iCs w:val="false"/>
          <w:color w:val="1A1A1A"/>
          <w:sz w:val="21"/>
          <w:szCs w:val="21"/>
        </w:rPr>
        <w:t xml:space="preserve">AI readiness assessments are administered as surveys, which means they capture a declaration at a moment rather than a record over time. No instrument exists that leaves behind a continuous, farm-owned operating record — and without one, a farm that scores poorly on data readiness has no route to scoring better, because nothing in the assessment process itself produces data.</w:t>
      </w:r>
    </w:p>
    <w:p>
      <w:pPr>
        <w:spacing w:after="130" w:line="290"/>
      </w:pPr>
      <w:r>
        <w:rPr>
          <w:b w:val="false"/>
          <w:bCs w:val="false"/>
          <w:i/>
          <w:iCs/>
          <w:color w:val="1A1A1A"/>
          <w:sz w:val="21"/>
          <w:szCs w:val="21"/>
        </w:rPr>
        <w:t xml:space="preserve">How TerraTwin addresses it: The operations layer produces the record as a by-product of use. Irrigation and fertilisation events, plant health scans, and weather-driven schedule changes accumulate in the farm's own store, held locally and under the farmer's control, and can be re-scored against the same rubric at any later date.</w:t>
      </w:r>
    </w:p>
    <w:p>
      <w:r>
        <w:br w:type="page"/>
      </w:r>
    </w:p>
    <w:p>
      <w:pPr>
        <w:pStyle w:val="Heading1"/>
        <w:pBdr>
          <w:bottom w:val="single" w:color="40916C" w:sz="8" w:space="4"/>
        </w:pBdr>
        <w:spacing w:after="180" w:before="400"/>
      </w:pPr>
      <w:r>
        <w:rPr>
          <w:b/>
          <w:bCs/>
          <w:color w:val="1B4332"/>
          <w:sz w:val="30"/>
          <w:szCs w:val="30"/>
        </w:rPr>
        <w:t xml:space="preserve">5. Knowledge Base Contribution</w:t>
      </w:r>
    </w:p>
    <w:p>
      <w:pPr>
        <w:spacing w:after="130" w:line="290"/>
      </w:pPr>
      <w:r>
        <w:rPr>
          <w:b w:val="false"/>
          <w:bCs w:val="false"/>
          <w:i w:val="false"/>
          <w:iCs w:val="false"/>
          <w:color w:val="1A1A1A"/>
          <w:sz w:val="21"/>
          <w:szCs w:val="21"/>
        </w:rPr>
        <w:t xml:space="preserve">The hackathon requires each participant to contribute domain-specific knowledge to the ITU AI-RE Toolkit. TerraTwin contributes:</w:t>
      </w:r>
    </w:p>
    <w:p>
      <w:pPr>
        <w:pStyle w:val="ListParagraph"/>
        <w:numPr>
          <w:ilvl w:val="0"/>
          <w:numId w:val="2"/>
        </w:numPr>
        <w:spacing w:after="85"/>
      </w:pPr>
      <w:r>
        <w:rPr>
          <w:color w:val="1A1A1A"/>
          <w:sz w:val="21"/>
          <w:szCs w:val="21"/>
        </w:rPr>
        <w:t xml:space="preserve">A reusable agriculture AI-readiness use-case template, expressed in Y.3172 pipeline terms, adaptable to other crops, sectors, or countries.</w:t>
      </w:r>
    </w:p>
    <w:p>
      <w:pPr>
        <w:pStyle w:val="ListParagraph"/>
        <w:numPr>
          <w:ilvl w:val="0"/>
          <w:numId w:val="2"/>
        </w:numPr>
        <w:spacing w:after="85"/>
      </w:pPr>
      <w:r>
        <w:rPr>
          <w:color w:val="1A1A1A"/>
          <w:sz w:val="21"/>
          <w:szCs w:val="21"/>
        </w:rPr>
        <w:t xml:space="preserve">A five-dimension, agriculture-specific readiness scoring rubric with explicit weights and status thresholds.</w:t>
      </w:r>
    </w:p>
    <w:p>
      <w:pPr>
        <w:pStyle w:val="ListParagraph"/>
        <w:numPr>
          <w:ilvl w:val="0"/>
          <w:numId w:val="2"/>
        </w:numPr>
        <w:spacing w:after="85"/>
      </w:pPr>
      <w:r>
        <w:rPr>
          <w:color w:val="1A1A1A"/>
          <w:sz w:val="21"/>
          <w:szCs w:val="21"/>
        </w:rPr>
        <w:t xml:space="preserve">A structured agricultural knowledge base of over 500 topics covering all 13 Saudi regions, major world crops and trees, soils, water, pests, diseases, nutrition, propagation, livestock, and research institutions.</w:t>
      </w:r>
    </w:p>
    <w:p>
      <w:pPr>
        <w:pStyle w:val="ListParagraph"/>
        <w:numPr>
          <w:ilvl w:val="0"/>
          <w:numId w:val="2"/>
        </w:numPr>
        <w:spacing w:after="85"/>
      </w:pPr>
      <w:r>
        <w:rPr>
          <w:color w:val="1A1A1A"/>
          <w:sz w:val="21"/>
          <w:szCs w:val="21"/>
        </w:rPr>
        <w:t xml:space="preserve">A reusable crop-region climate-matching method covering 60 crops against 15 regional profiles (900 combinations), built from published horticultural chill-requirement figures and regional climate data.</w:t>
      </w:r>
    </w:p>
    <w:p>
      <w:pPr>
        <w:pStyle w:val="ListParagraph"/>
        <w:numPr>
          <w:ilvl w:val="0"/>
          <w:numId w:val="2"/>
        </w:numPr>
        <w:spacing w:after="85"/>
      </w:pPr>
      <w:r>
        <w:rPr>
          <w:color w:val="1A1A1A"/>
          <w:sz w:val="21"/>
          <w:szCs w:val="21"/>
        </w:rPr>
        <w:t xml:space="preserve">A governance-safeguard pattern: the Policy (P) node design, which checks any AI recommendation against PDPL and safe-practice rules before it reaches a user.</w:t>
      </w:r>
    </w:p>
    <w:p>
      <w:pPr>
        <w:pStyle w:val="ListParagraph"/>
        <w:numPr>
          <w:ilvl w:val="0"/>
          <w:numId w:val="2"/>
        </w:numPr>
        <w:spacing w:after="85"/>
      </w:pPr>
      <w:r>
        <w:rPr>
          <w:color w:val="1A1A1A"/>
          <w:sz w:val="21"/>
          <w:szCs w:val="21"/>
        </w:rPr>
        <w:t xml:space="preserve">Verified policy references with live links to 13 primary sources: ITU-T Y.3172, ITU AI-RE Toolkit, SDAIA, MEWA, GASTAT, Vision 2030, FAO, ICBA, ICARDA, and KAUST.</w:t>
      </w:r>
    </w:p>
    <w:p>
      <w:pPr>
        <w:pStyle w:val="ListParagraph"/>
        <w:numPr>
          <w:ilvl w:val="0"/>
          <w:numId w:val="2"/>
        </w:numPr>
        <w:spacing w:after="85"/>
      </w:pPr>
      <w:r>
        <w:rPr>
          <w:color w:val="1A1A1A"/>
          <w:sz w:val="21"/>
          <w:szCs w:val="21"/>
        </w:rPr>
        <w:t xml:space="preserve">A weather-to-action alert rule set for hot humid coastal and highland terrace agriculture: the thresholds that matter (heat stress, day-to-day temperature swing, rain substitution, humidity-driven fungal pressure, wind, highland cold) each paired with the agronomic action rather than the reading alone.</w:t>
      </w:r>
    </w:p>
    <w:p>
      <w:pPr>
        <w:pStyle w:val="ListParagraph"/>
        <w:numPr>
          <w:ilvl w:val="0"/>
          <w:numId w:val="2"/>
        </w:numPr>
        <w:spacing w:after="85"/>
      </w:pPr>
      <w:r>
        <w:rPr>
          <w:color w:val="1A1A1A"/>
          <w:sz w:val="21"/>
          <w:szCs w:val="21"/>
        </w:rPr>
        <w:t xml:space="preserve">A structured vision-diagnosis prompt pattern for plant health, specifying the regional growing context and a fixed JSON response contract (species, stage, health score, status, diagnosis, causes, actions, confidence), with a documented offline fallback so the feature degrades rather than fails.</w:t>
      </w:r>
    </w:p>
    <w:p>
      <w:pPr>
        <w:pStyle w:val="ListParagraph"/>
        <w:numPr>
          <w:ilvl w:val="0"/>
          <w:numId w:val="2"/>
        </w:numPr>
        <w:spacing w:after="85"/>
      </w:pPr>
      <w:r>
        <w:rPr>
          <w:color w:val="1A1A1A"/>
          <w:sz w:val="21"/>
          <w:szCs w:val="21"/>
        </w:rPr>
        <w:t xml:space="preserve">A default irrigation and fertilisation interval table for fifteen crops grown in the Jazan region, with indicative water volumes per irrigation, usable as a starting schedule for any smallholder scheduling tool.</w:t>
      </w:r>
    </w:p>
    <w:p>
      <w:pPr>
        <w:pStyle w:val="Heading1"/>
        <w:pBdr>
          <w:bottom w:val="single" w:color="40916C" w:sz="8" w:space="4"/>
        </w:pBdr>
        <w:spacing w:after="180" w:before="400"/>
      </w:pPr>
      <w:r>
        <w:rPr>
          <w:b/>
          <w:bCs/>
          <w:color w:val="1B4332"/>
          <w:sz w:val="30"/>
          <w:szCs w:val="30"/>
        </w:rPr>
        <w:t xml:space="preserve">6. Limitations and Disclosures</w:t>
      </w:r>
    </w:p>
    <w:p>
      <w:pPr>
        <w:pStyle w:val="ListParagraph"/>
        <w:numPr>
          <w:ilvl w:val="0"/>
          <w:numId w:val="2"/>
        </w:numPr>
        <w:spacing w:after="85"/>
      </w:pPr>
      <w:r>
        <w:rPr>
          <w:color w:val="1A1A1A"/>
          <w:sz w:val="21"/>
          <w:szCs w:val="21"/>
        </w:rPr>
        <w:t xml:space="preserve">The Model (M) node is currently rule-based, not a trained statistical or deep-learning model. The Y.3172 structure exists so it can be replaced by a trained model without altering the surrounding nodes.</w:t>
      </w:r>
    </w:p>
    <w:p>
      <w:pPr>
        <w:pStyle w:val="ListParagraph"/>
        <w:numPr>
          <w:ilvl w:val="0"/>
          <w:numId w:val="2"/>
        </w:numPr>
        <w:spacing w:after="85"/>
      </w:pPr>
      <w:r>
        <w:rPr>
          <w:color w:val="1A1A1A"/>
          <w:sz w:val="21"/>
          <w:szCs w:val="21"/>
        </w:rPr>
        <w:t xml:space="preserve">All farm data is illustrative. No real farm, farmer, or dataset is represented anywhere in the build.</w:t>
      </w:r>
    </w:p>
    <w:p>
      <w:pPr>
        <w:pStyle w:val="ListParagraph"/>
        <w:numPr>
          <w:ilvl w:val="0"/>
          <w:numId w:val="2"/>
        </w:numPr>
        <w:spacing w:after="85"/>
      </w:pPr>
      <w:r>
        <w:rPr>
          <w:color w:val="1A1A1A"/>
          <w:sz w:val="21"/>
          <w:szCs w:val="21"/>
        </w:rPr>
        <w:t xml:space="preserve">Authentication is prototype-grade (browser localStorage with a simple digest). It is not secure and a production build would use a real backend.</w:t>
      </w:r>
    </w:p>
    <w:p>
      <w:pPr>
        <w:pStyle w:val="ListParagraph"/>
        <w:numPr>
          <w:ilvl w:val="0"/>
          <w:numId w:val="2"/>
        </w:numPr>
        <w:spacing w:after="85"/>
      </w:pPr>
      <w:r>
        <w:rPr>
          <w:color w:val="1A1A1A"/>
          <w:sz w:val="21"/>
          <w:szCs w:val="21"/>
        </w:rPr>
        <w:t xml:space="preserve">Climate-matching verdicts are based on published horticultural chill-hour and heat-tolerance data and regional climate profiles — useful for direction, not a substitute for local field trials.</w:t>
      </w:r>
    </w:p>
    <w:p>
      <w:pPr>
        <w:pStyle w:val="ListParagraph"/>
        <w:numPr>
          <w:ilvl w:val="0"/>
          <w:numId w:val="2"/>
        </w:numPr>
        <w:spacing w:after="85"/>
      </w:pPr>
      <w:r>
        <w:rPr>
          <w:color w:val="1A1A1A"/>
          <w:sz w:val="21"/>
          <w:szCs w:val="21"/>
        </w:rPr>
        <w:t xml:space="preserve">No API key is bundled with the project. The application is fully functional without one.</w:t>
      </w:r>
    </w:p>
    <w:p>
      <w:pPr>
        <w:pStyle w:val="ListParagraph"/>
        <w:numPr>
          <w:ilvl w:val="0"/>
          <w:numId w:val="2"/>
        </w:numPr>
        <w:spacing w:after="85"/>
      </w:pPr>
      <w:r>
        <w:rPr>
          <w:color w:val="1A1A1A"/>
          <w:sz w:val="21"/>
          <w:szCs w:val="21"/>
        </w:rPr>
        <w:t xml:space="preserve">The vision diagnosis has not been validated against expert plant-pathologist labelling on Jazan crops. It is a decision aid and a prompt to seek advice, not a diagnostic instrument, and the offline fallback is explicitly coarser than the model-backed path.</w:t>
      </w:r>
    </w:p>
    <w:p>
      <w:pPr>
        <w:pStyle w:val="ListParagraph"/>
        <w:numPr>
          <w:ilvl w:val="0"/>
          <w:numId w:val="2"/>
        </w:numPr>
        <w:spacing w:after="85"/>
      </w:pPr>
      <w:r>
        <w:rPr>
          <w:color w:val="1A1A1A"/>
          <w:sz w:val="21"/>
          <w:szCs w:val="21"/>
        </w:rPr>
        <w:t xml:space="preserve">Forum posts and market listings are stored in the browser, so community content is shared per device rather than across the region. A production build would move both to a server with real identity.</w:t>
      </w:r>
    </w:p>
    <w:p>
      <w:pPr>
        <w:pStyle w:val="ListParagraph"/>
        <w:numPr>
          <w:ilvl w:val="0"/>
          <w:numId w:val="2"/>
        </w:numPr>
        <w:spacing w:after="85"/>
      </w:pPr>
      <w:r>
        <w:rPr>
          <w:color w:val="1A1A1A"/>
          <w:sz w:val="21"/>
          <w:szCs w:val="21"/>
        </w:rPr>
        <w:t xml:space="preserve">Camera capture and voice recording require the application to be served over http://localhost or https; opened directly from the file system the browser withholds device access, and the upload paths are used instead.</w:t>
      </w:r>
    </w:p>
    <w:p>
      <w:pPr>
        <w:pStyle w:val="ListParagraph"/>
        <w:numPr>
          <w:ilvl w:val="0"/>
          <w:numId w:val="2"/>
        </w:numPr>
        <w:spacing w:after="85"/>
      </w:pPr>
      <w:r>
        <w:rPr>
          <w:color w:val="1A1A1A"/>
          <w:sz w:val="21"/>
          <w:szCs w:val="21"/>
        </w:rPr>
        <w:t xml:space="preserve">Weather alerts depend on a third-party forecast service when online. The offline climate model is deterministic and regionally calibrated, but it is a stand-in for demonstration, not a forecast.</w:t>
      </w:r>
    </w:p>
    <w:p>
      <w:pPr>
        <w:pStyle w:val="Heading1"/>
        <w:pBdr>
          <w:bottom w:val="single" w:color="40916C" w:sz="8" w:space="4"/>
        </w:pBdr>
        <w:spacing w:after="180" w:before="400"/>
      </w:pPr>
      <w:r>
        <w:rPr>
          <w:b/>
          <w:bCs/>
          <w:color w:val="1B4332"/>
          <w:sz w:val="30"/>
          <w:szCs w:val="30"/>
        </w:rPr>
        <w:t xml:space="preserve">7. Project Repository and Supporting Files</w:t>
      </w:r>
    </w:p>
    <w:p>
      <w:pPr>
        <w:spacing w:after="130" w:line="290"/>
      </w:pPr>
      <w:r>
        <w:rPr>
          <w:b w:val="false"/>
          <w:bCs w:val="false"/>
          <w:i w:val="false"/>
          <w:iCs w:val="false"/>
          <w:color w:val="1A1A1A"/>
          <w:sz w:val="21"/>
          <w:szCs w:val="21"/>
        </w:rPr>
        <w:t xml:space="preserve">The complete project — application source, documents, and the knowledge base — is published in a public GitHub repository. This report is the only attached file; everything referenced below is reachable at the links given, and the repository is the authoritative copy.</w:t>
      </w:r>
    </w:p>
    <w:p>
      <w:pPr>
        <w:pStyle w:val="Heading2"/>
        <w:spacing w:after="100" w:before="260"/>
      </w:pPr>
      <w:r>
        <w:rPr>
          <w:b/>
          <w:bCs/>
          <w:color w:val="40916C"/>
          <w:sz w:val="24"/>
          <w:szCs w:val="24"/>
        </w:rPr>
        <w:t xml:space="preserve">7.1 Repository and Live Application</w:t>
      </w:r>
    </w:p>
    <w:p>
      <w:pPr>
        <w:pStyle w:val="ListParagraph"/>
        <w:numPr>
          <w:ilvl w:val="0"/>
          <w:numId w:val="2"/>
        </w:numPr>
        <w:spacing w:after="85"/>
      </w:pPr>
      <w:r>
        <w:rPr>
          <w:b/>
          <w:bCs/>
          <w:color w:val="1A1A1A"/>
          <w:sz w:val="21"/>
          <w:szCs w:val="21"/>
        </w:rPr>
        <w:t xml:space="preserve">Repository: </w:t>
      </w:r>
      <w:r>
        <w:rPr>
          <w:color w:val="1F6F54"/>
          <w:sz w:val="20"/>
          <w:szCs w:val="20"/>
          <w:u w:val="single"/>
        </w:rPr>
        <w:t xml:space="preserve">https://github.com/USERNAME/terratwin</w:t>
      </w:r>
    </w:p>
    <w:p>
      <w:pPr>
        <w:pStyle w:val="ListParagraph"/>
        <w:numPr>
          <w:ilvl w:val="0"/>
          <w:numId w:val="2"/>
        </w:numPr>
        <w:spacing w:after="85"/>
      </w:pPr>
      <w:r>
        <w:rPr>
          <w:b/>
          <w:bCs/>
          <w:color w:val="1A1A1A"/>
          <w:sz w:val="21"/>
          <w:szCs w:val="21"/>
        </w:rPr>
        <w:t xml:space="preserve">Live application (GitHub Pages): </w:t>
      </w:r>
      <w:r>
        <w:rPr>
          <w:color w:val="1F6F54"/>
          <w:sz w:val="20"/>
          <w:szCs w:val="20"/>
          <w:u w:val="single"/>
        </w:rPr>
        <w:t xml:space="preserve">https://USERNAME.github.io/terratwin</w:t>
      </w:r>
    </w:p>
    <w:p>
      <w:pPr>
        <w:spacing w:after="130" w:line="290"/>
      </w:pPr>
      <w:r>
        <w:rPr>
          <w:b w:val="false"/>
          <w:bCs w:val="false"/>
          <w:i/>
          <w:iCs/>
          <w:color w:val="1A1A1A"/>
          <w:sz w:val="21"/>
          <w:szCs w:val="21"/>
        </w:rPr>
        <w:t xml:space="preserve">The live link runs the full application in the browser. Served over https, the Plant Doctor camera and the forum voice recorder both work; no installation, account, or API key is required to use it.</w:t>
      </w:r>
    </w:p>
    <w:p>
      <w:pPr>
        <w:pStyle w:val="Heading2"/>
        <w:spacing w:after="100" w:before="260"/>
      </w:pPr>
      <w:r>
        <w:rPr>
          <w:b/>
          <w:bCs/>
          <w:color w:val="40916C"/>
          <w:sz w:val="24"/>
          <w:szCs w:val="24"/>
        </w:rPr>
        <w:t xml:space="preserve">7.2 Application Source</w:t>
      </w:r>
    </w:p>
    <w:p>
      <w:pPr>
        <w:pStyle w:val="ListParagraph"/>
        <w:numPr>
          <w:ilvl w:val="0"/>
          <w:numId w:val="2"/>
        </w:numPr>
        <w:spacing w:after="85"/>
      </w:pPr>
      <w:r>
        <w:rPr>
          <w:b/>
          <w:bCs/>
          <w:color w:val="1A1A1A"/>
          <w:sz w:val="21"/>
          <w:szCs w:val="21"/>
        </w:rPr>
        <w:t xml:space="preserve">Single-file build (index.html): </w:t>
      </w:r>
      <w:r>
        <w:rPr>
          <w:color w:val="1F6F54"/>
          <w:sz w:val="20"/>
          <w:szCs w:val="20"/>
          <w:u w:val="single"/>
        </w:rPr>
        <w:t xml:space="preserve">https://github.com/USERNAME/terratwin/blob/main/index.html</w:t>
      </w:r>
    </w:p>
    <w:p>
      <w:pPr>
        <w:pStyle w:val="ListParagraph"/>
        <w:numPr>
          <w:ilvl w:val="0"/>
          <w:numId w:val="2"/>
        </w:numPr>
        <w:spacing w:after="85"/>
      </w:pPr>
      <w:r>
        <w:rPr>
          <w:b/>
          <w:bCs/>
          <w:color w:val="1A1A1A"/>
          <w:sz w:val="21"/>
          <w:szCs w:val="21"/>
        </w:rPr>
        <w:t xml:space="preserve">Editable project (VS Code): </w:t>
      </w:r>
      <w:r>
        <w:rPr>
          <w:color w:val="1F6F54"/>
          <w:sz w:val="20"/>
          <w:szCs w:val="20"/>
          <w:u w:val="single"/>
        </w:rPr>
        <w:t xml:space="preserve">https://github.com/USERNAME/terratwin/tree/main/app</w:t>
      </w:r>
    </w:p>
    <w:p>
      <w:pPr>
        <w:pStyle w:val="Heading2"/>
        <w:spacing w:after="100" w:before="260"/>
      </w:pPr>
      <w:r>
        <w:rPr>
          <w:b/>
          <w:bCs/>
          <w:color w:val="40916C"/>
          <w:sz w:val="24"/>
          <w:szCs w:val="24"/>
        </w:rPr>
        <w:t xml:space="preserve">7.3 Knowledge Base Contribution</w:t>
      </w:r>
    </w:p>
    <w:p>
      <w:pPr>
        <w:spacing w:after="130" w:line="290"/>
      </w:pPr>
      <w:r>
        <w:rPr>
          <w:b w:val="false"/>
          <w:bCs w:val="false"/>
          <w:i w:val="false"/>
          <w:iCs w:val="false"/>
          <w:color w:val="1A1A1A"/>
          <w:sz w:val="21"/>
          <w:szCs w:val="21"/>
        </w:rPr>
        <w:t xml:space="preserve">The knowledge base is submitted as a separate file in the repository rather than inline in this report, because at 505 entries it is a reference work in its own right. It contains 505 authentic public sources with clickable links, organised into Part A — AI readiness policy, standards and governance (83 sources: ITU-T Recommendations, AI for Good, SDAIA, MEWA, GASTAT, Vision 2030, PDPL, and the UN SDG framework) — and Part B — agricultural domain knowledge and technical references (422 sources: FAO and global databases, research institutions, crop science, soils, water and irrigation, plant protection, climate, precision agriculture, food security, livestock, extension, plant nutrition, post-harvest, protected cultivation, propagation, regional and historical agriculture, and open tooling). Reference numbers 1 to 505 are preserved unchanged for traceability.</w:t>
      </w:r>
    </w:p>
    <w:p>
      <w:pPr>
        <w:pStyle w:val="ListParagraph"/>
        <w:numPr>
          <w:ilvl w:val="0"/>
          <w:numId w:val="2"/>
        </w:numPr>
        <w:spacing w:after="85"/>
      </w:pPr>
      <w:r>
        <w:rPr>
          <w:b/>
          <w:bCs/>
          <w:color w:val="1A1A1A"/>
          <w:sz w:val="21"/>
          <w:szCs w:val="21"/>
        </w:rPr>
        <w:t xml:space="preserve">Knowledge base (PDF, clickable links): </w:t>
      </w:r>
      <w:r>
        <w:rPr>
          <w:color w:val="1F6F54"/>
          <w:sz w:val="20"/>
          <w:szCs w:val="20"/>
          <w:u w:val="single"/>
        </w:rPr>
        <w:t xml:space="preserve">https://github.com/USERNAME/terratwin/blob/main/docs/TerraTwin_Knowledge_Base_500_v3.pdf</w:t>
      </w:r>
    </w:p>
    <w:p>
      <w:pPr>
        <w:pStyle w:val="ListParagraph"/>
        <w:numPr>
          <w:ilvl w:val="0"/>
          <w:numId w:val="2"/>
        </w:numPr>
        <w:spacing w:after="85"/>
      </w:pPr>
      <w:r>
        <w:rPr>
          <w:b/>
          <w:bCs/>
          <w:color w:val="1A1A1A"/>
          <w:sz w:val="21"/>
          <w:szCs w:val="21"/>
        </w:rPr>
        <w:t xml:space="preserve">Knowledge base (Word, editable): </w:t>
      </w:r>
      <w:r>
        <w:rPr>
          <w:color w:val="1F6F54"/>
          <w:sz w:val="20"/>
          <w:szCs w:val="20"/>
          <w:u w:val="single"/>
        </w:rPr>
        <w:t xml:space="preserve">https://github.com/USERNAME/terratwin/blob/main/docs/TerraTwin_Knowledge_Base_500.docx</w:t>
      </w:r>
    </w:p>
    <w:p>
      <w:pPr>
        <w:pStyle w:val="Heading2"/>
        <w:spacing w:after="100" w:before="260"/>
      </w:pPr>
      <w:r>
        <w:rPr>
          <w:b/>
          <w:bCs/>
          <w:color w:val="40916C"/>
          <w:sz w:val="24"/>
          <w:szCs w:val="24"/>
        </w:rPr>
        <w:t xml:space="preserve">7.4 Supporting Documents</w:t>
      </w:r>
    </w:p>
    <w:p>
      <w:pPr>
        <w:pStyle w:val="ListParagraph"/>
        <w:numPr>
          <w:ilvl w:val="0"/>
          <w:numId w:val="2"/>
        </w:numPr>
        <w:spacing w:after="85"/>
      </w:pPr>
      <w:r>
        <w:rPr>
          <w:b/>
          <w:bCs/>
          <w:color w:val="1A1A1A"/>
          <w:sz w:val="21"/>
          <w:szCs w:val="21"/>
        </w:rPr>
        <w:t xml:space="preserve">AI readiness scorecard (Excel, live formulas): </w:t>
      </w:r>
      <w:r>
        <w:rPr>
          <w:color w:val="1F6F54"/>
          <w:sz w:val="20"/>
          <w:szCs w:val="20"/>
          <w:u w:val="single"/>
        </w:rPr>
        <w:t xml:space="preserve">https://github.com/USERNAME/terratwin/blob/main/docs/TerraTwin_AI_Readiness_Scorecard.xlsx</w:t>
      </w:r>
    </w:p>
    <w:p>
      <w:pPr>
        <w:pStyle w:val="ListParagraph"/>
        <w:numPr>
          <w:ilvl w:val="0"/>
          <w:numId w:val="2"/>
        </w:numPr>
        <w:spacing w:after="85"/>
      </w:pPr>
      <w:r>
        <w:rPr>
          <w:b/>
          <w:bCs/>
          <w:color w:val="1A1A1A"/>
          <w:sz w:val="21"/>
          <w:szCs w:val="21"/>
        </w:rPr>
        <w:t xml:space="preserve">Pitch deck (PowerPoint): </w:t>
      </w:r>
      <w:r>
        <w:rPr>
          <w:color w:val="1F6F54"/>
          <w:sz w:val="20"/>
          <w:szCs w:val="20"/>
          <w:u w:val="single"/>
        </w:rPr>
        <w:t xml:space="preserve">https://github.com/USERNAME/terratwin/blob/main/docs/TerraTwin_Pitch_Deck.pptx</w:t>
      </w:r>
    </w:p>
    <w:p>
      <w:pPr>
        <w:pStyle w:val="ListParagraph"/>
        <w:numPr>
          <w:ilvl w:val="0"/>
          <w:numId w:val="2"/>
        </w:numPr>
        <w:spacing w:after="85"/>
      </w:pPr>
      <w:r>
        <w:rPr>
          <w:b/>
          <w:bCs/>
          <w:color w:val="1A1A1A"/>
          <w:sz w:val="21"/>
          <w:szCs w:val="21"/>
        </w:rPr>
        <w:t xml:space="preserve">Extended project document: </w:t>
      </w:r>
      <w:r>
        <w:rPr>
          <w:color w:val="1F6F54"/>
          <w:sz w:val="20"/>
          <w:szCs w:val="20"/>
          <w:u w:val="single"/>
        </w:rPr>
        <w:t xml:space="preserve">https://github.com/USERNAME/terratwin/blob/main/docs/TerraTwin_Project_Explanation.docx</w:t>
      </w:r>
    </w:p>
    <w:p>
      <w:pPr>
        <w:spacing w:after="130" w:line="290"/>
      </w:pPr>
      <w:r>
        <w:rPr>
          <w:b w:val="false"/>
          <w:bCs w:val="false"/>
          <w:i/>
          <w:iCs/>
          <w:color w:val="1A1A1A"/>
          <w:sz w:val="21"/>
          <w:szCs w:val="21"/>
        </w:rPr>
        <w:t xml:space="preserve">Replace USERNAME in the links above with the account the repository is published under before submitting. Delete this note once done.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TerraTwin — AI Application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2026-07-29T05:55:20.985Z</dcterms:created>
  <dcterms:modified xsi:type="dcterms:W3CDTF">2026-07-29T05:55:21.023Z</dcterms:modified>
</cp:coreProperties>
</file>

<file path=docProps/custom.xml><?xml version="1.0" encoding="utf-8"?>
<Properties xmlns="http://schemas.openxmlformats.org/officeDocument/2006/custom-properties" xmlns:vt="http://schemas.openxmlformats.org/officeDocument/2006/docPropsVTypes"/>
</file>