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73F2E"/>
          <w:sz w:val="48"/>
        </w:rPr>
        <w:t>TerraTwin</w:t>
      </w:r>
    </w:p>
    <w:p>
      <w:pPr>
        <w:jc w:val="center"/>
      </w:pPr>
      <w:r>
        <w:rPr>
          <w:b/>
          <w:sz w:val="24"/>
        </w:rPr>
        <w:t>AI Readiness Digital Twin for Sustainable Agriculture</w:t>
      </w:r>
    </w:p>
    <w:p>
      <w:pPr>
        <w:jc w:val="center"/>
      </w:pPr>
      <w:r>
        <w:rPr>
          <w:color w:val="5F5F5F"/>
          <w:sz w:val="18"/>
        </w:rPr>
        <w:t>Final Technical Report · ITU AI Readiness Hackathon — KSA 2026</w:t>
      </w:r>
    </w:p>
    <w:tbl>
      <w:tblPr>
        <w:tblW w:type="auto" w:w="0"/>
        <w:jc w:val="center"/>
        <w:tblLayout w:type="fixed"/>
        <w:tblLook w:firstColumn="1" w:firstRow="1" w:lastColumn="0" w:lastRow="0" w:noHBand="0" w:noVBand="1" w:val="04A0"/>
      </w:tblPr>
      <w:tblGrid>
        <w:gridCol w:w="5429"/>
        <w:gridCol w:w="5429"/>
      </w:tblGrid>
      <w:tr>
        <w:tc>
          <w:tcPr>
            <w:tcW w:type="dxa" w:w="2088"/>
            <w:shd w:fill="E3EBDD"/>
            <w:tcBorders>
              <w:top w:val="single" w:sz="4" w:color="D8D2C3"/>
              <w:left w:val="single" w:sz="4" w:color="D8D2C3"/>
              <w:bottom w:val="single" w:sz="4" w:color="D8D2C3"/>
              <w:right w:val="single" w:sz="4" w:color="D8D2C3"/>
              <w:insideH w:val="single" w:sz="4" w:color="D8D2C3"/>
              <w:insideV w:val="single" w:sz="4" w:color="D8D2C3"/>
            </w:tcBorders>
            <w:tcMar>
              <w:top w:w="60" w:type="dxa"/>
              <w:start w:w="70" w:type="dxa"/>
              <w:bottom w:w="60" w:type="dxa"/>
              <w:end w:w="70" w:type="dxa"/>
            </w:tcMar>
          </w:tcPr>
          <w:p>
            <w:r>
              <w:rPr>
                <w:b/>
                <w:sz w:val="16"/>
              </w:rPr>
              <w:t>Team name</w:t>
            </w:r>
          </w:p>
        </w:tc>
        <w:tc>
          <w:tcPr>
            <w:tcW w:type="dxa" w:w="8352"/>
            <w:tcBorders>
              <w:top w:val="single" w:sz="4" w:color="D8D2C3"/>
              <w:left w:val="single" w:sz="4" w:color="D8D2C3"/>
              <w:bottom w:val="single" w:sz="4" w:color="D8D2C3"/>
              <w:right w:val="single" w:sz="4" w:color="D8D2C3"/>
              <w:insideH w:val="single" w:sz="4" w:color="D8D2C3"/>
              <w:insideV w:val="single" w:sz="4" w:color="D8D2C3"/>
            </w:tcBorders>
            <w:tcMar>
              <w:top w:w="60" w:type="dxa"/>
              <w:start w:w="70" w:type="dxa"/>
              <w:bottom w:w="60" w:type="dxa"/>
              <w:end w:w="70" w:type="dxa"/>
            </w:tcMar>
          </w:tcPr>
          <w:p>
            <w:r>
              <w:rPr>
                <w:sz w:val="16"/>
              </w:rPr>
              <w:t>TerraTwin</w:t>
            </w:r>
          </w:p>
        </w:tc>
      </w:tr>
      <w:tr>
        <w:tc>
          <w:tcPr>
            <w:tcW w:type="dxa" w:w="2088"/>
            <w:shd w:fill="E3EBDD"/>
            <w:tcBorders>
              <w:top w:val="single" w:sz="4" w:color="D8D2C3"/>
              <w:left w:val="single" w:sz="4" w:color="D8D2C3"/>
              <w:bottom w:val="single" w:sz="4" w:color="D8D2C3"/>
              <w:right w:val="single" w:sz="4" w:color="D8D2C3"/>
              <w:insideH w:val="single" w:sz="4" w:color="D8D2C3"/>
              <w:insideV w:val="single" w:sz="4" w:color="D8D2C3"/>
            </w:tcBorders>
            <w:tcMar>
              <w:top w:w="60" w:type="dxa"/>
              <w:start w:w="70" w:type="dxa"/>
              <w:bottom w:w="60" w:type="dxa"/>
              <w:end w:w="70" w:type="dxa"/>
            </w:tcMar>
          </w:tcPr>
          <w:p>
            <w:r>
              <w:rPr>
                <w:b/>
                <w:sz w:val="16"/>
              </w:rPr>
              <w:t>Members name</w:t>
            </w:r>
          </w:p>
        </w:tc>
        <w:tc>
          <w:tcPr>
            <w:tcW w:type="dxa" w:w="8352"/>
            <w:tcBorders>
              <w:top w:val="single" w:sz="4" w:color="D8D2C3"/>
              <w:left w:val="single" w:sz="4" w:color="D8D2C3"/>
              <w:bottom w:val="single" w:sz="4" w:color="D8D2C3"/>
              <w:right w:val="single" w:sz="4" w:color="D8D2C3"/>
              <w:insideH w:val="single" w:sz="4" w:color="D8D2C3"/>
              <w:insideV w:val="single" w:sz="4" w:color="D8D2C3"/>
            </w:tcBorders>
            <w:tcMar>
              <w:top w:w="60" w:type="dxa"/>
              <w:start w:w="70" w:type="dxa"/>
              <w:bottom w:w="60" w:type="dxa"/>
              <w:end w:w="70" w:type="dxa"/>
            </w:tcMar>
          </w:tcPr>
          <w:p>
            <w:r>
              <w:rPr>
                <w:sz w:val="16"/>
              </w:rPr>
              <w:t>Wanas Zakri (solo submission)</w:t>
            </w:r>
          </w:p>
        </w:tc>
      </w:tr>
      <w:tr>
        <w:tc>
          <w:tcPr>
            <w:tcW w:type="dxa" w:w="2088"/>
            <w:shd w:fill="E3EBDD"/>
            <w:tcBorders>
              <w:top w:val="single" w:sz="4" w:color="D8D2C3"/>
              <w:left w:val="single" w:sz="4" w:color="D8D2C3"/>
              <w:bottom w:val="single" w:sz="4" w:color="D8D2C3"/>
              <w:right w:val="single" w:sz="4" w:color="D8D2C3"/>
              <w:insideH w:val="single" w:sz="4" w:color="D8D2C3"/>
              <w:insideV w:val="single" w:sz="4" w:color="D8D2C3"/>
            </w:tcBorders>
            <w:tcMar>
              <w:top w:w="60" w:type="dxa"/>
              <w:start w:w="70" w:type="dxa"/>
              <w:bottom w:w="60" w:type="dxa"/>
              <w:end w:w="70" w:type="dxa"/>
            </w:tcMar>
          </w:tcPr>
          <w:p>
            <w:r>
              <w:rPr>
                <w:b/>
                <w:sz w:val="16"/>
              </w:rPr>
              <w:t>Solution name</w:t>
            </w:r>
          </w:p>
        </w:tc>
        <w:tc>
          <w:tcPr>
            <w:tcW w:type="dxa" w:w="8352"/>
            <w:tcBorders>
              <w:top w:val="single" w:sz="4" w:color="D8D2C3"/>
              <w:left w:val="single" w:sz="4" w:color="D8D2C3"/>
              <w:bottom w:val="single" w:sz="4" w:color="D8D2C3"/>
              <w:right w:val="single" w:sz="4" w:color="D8D2C3"/>
              <w:insideH w:val="single" w:sz="4" w:color="D8D2C3"/>
              <w:insideV w:val="single" w:sz="4" w:color="D8D2C3"/>
            </w:tcBorders>
            <w:tcMar>
              <w:top w:w="60" w:type="dxa"/>
              <w:start w:w="70" w:type="dxa"/>
              <w:bottom w:w="60" w:type="dxa"/>
              <w:end w:w="70" w:type="dxa"/>
            </w:tcMar>
          </w:tcPr>
          <w:p>
            <w:r>
              <w:rPr>
                <w:sz w:val="16"/>
              </w:rPr>
              <w:t>TerraTwin</w:t>
            </w:r>
          </w:p>
        </w:tc>
      </w:tr>
      <w:tr>
        <w:tc>
          <w:tcPr>
            <w:tcW w:type="dxa" w:w="2088"/>
            <w:shd w:fill="E3EBDD"/>
            <w:tcBorders>
              <w:top w:val="single" w:sz="4" w:color="D8D2C3"/>
              <w:left w:val="single" w:sz="4" w:color="D8D2C3"/>
              <w:bottom w:val="single" w:sz="4" w:color="D8D2C3"/>
              <w:right w:val="single" w:sz="4" w:color="D8D2C3"/>
              <w:insideH w:val="single" w:sz="4" w:color="D8D2C3"/>
              <w:insideV w:val="single" w:sz="4" w:color="D8D2C3"/>
            </w:tcBorders>
            <w:tcMar>
              <w:top w:w="60" w:type="dxa"/>
              <w:start w:w="70" w:type="dxa"/>
              <w:bottom w:w="60" w:type="dxa"/>
              <w:end w:w="70" w:type="dxa"/>
            </w:tcMar>
          </w:tcPr>
          <w:p>
            <w:r>
              <w:rPr>
                <w:b/>
                <w:sz w:val="16"/>
              </w:rPr>
              <w:t>Contact details</w:t>
            </w:r>
          </w:p>
        </w:tc>
        <w:tc>
          <w:tcPr>
            <w:tcW w:type="dxa" w:w="8352"/>
            <w:tcBorders>
              <w:top w:val="single" w:sz="4" w:color="D8D2C3"/>
              <w:left w:val="single" w:sz="4" w:color="D8D2C3"/>
              <w:bottom w:val="single" w:sz="4" w:color="D8D2C3"/>
              <w:right w:val="single" w:sz="4" w:color="D8D2C3"/>
              <w:insideH w:val="single" w:sz="4" w:color="D8D2C3"/>
              <w:insideV w:val="single" w:sz="4" w:color="D8D2C3"/>
            </w:tcBorders>
            <w:tcMar>
              <w:top w:w="60" w:type="dxa"/>
              <w:start w:w="70" w:type="dxa"/>
              <w:bottom w:w="60" w:type="dxa"/>
              <w:end w:w="70" w:type="dxa"/>
            </w:tcMar>
          </w:tcPr>
          <w:p>
            <w:r>
              <w:rPr>
                <w:sz w:val="16"/>
              </w:rPr>
              <w:t>Email: wnszakri@gmail.com</w:t>
            </w:r>
          </w:p>
        </w:tc>
      </w:tr>
    </w:tbl>
    <w:p>
      <w:pPr>
        <w:pStyle w:val="Heading1"/>
      </w:pPr>
      <w:r>
        <w:t>1. Introduction</w:t>
      </w:r>
    </w:p>
    <w:p>
      <w:r>
        <w:t>Agricultural AI often arrives as a finished recommendation—irrigate, fertilise, spray or plant—before the farm has the data, connectivity, governance practice or safe trial environment needed to use that recommendation responsibly. TerraTwin is a browser-based AI-readiness digital twin designed for smallholders in Jazan, Saudi Arabia. It measures readiness, rehearses agricultural decisions in a sandbox, and then supports daily farm operations so readiness improves through ordinary use rather than a one-time survey.</w:t>
      </w:r>
    </w:p>
    <w:p>
      <w:r>
        <w:t>The solution implements the ITU-T Y.3172 ML pipeline as visible application behaviour: SRC → C → PP → M → P → D → SINK, orchestrated within a sandbox. The current Model node is explicitly prototype-grade and rule-based, not a trained statistical or deep-learning model; all farm figures are illustrative. This disclosure is intentional so the prototype demonstrates architecture, policy enforcement and readiness logic without overstating model accuracy.</w:t>
      </w:r>
    </w:p>
    <w:p>
      <w:pPr>
        <w:pStyle w:val="Heading2"/>
      </w:pPr>
      <w:r>
        <w:t>Why Jazan</w:t>
      </w:r>
    </w:p>
    <w:p>
      <w:r>
        <w:t>Jazan contains sharply different agricultural systems within one region: the hot humid Tihama coast, Wadi Sabya, Abu Arish plain, Al-Reeth foothills and Fifa highlands. A recommendation useful for one setting may be harmful in another. TerraTwin therefore chooses site before crop and makes local conditions part of every simulation and guidance path.</w:t>
      </w:r>
    </w:p>
    <w:p>
      <w:pPr>
        <w:pStyle w:val="Heading2"/>
      </w:pPr>
      <w:r>
        <w:t>Core solution</w:t>
      </w:r>
    </w:p>
    <w:p>
      <w:pPr>
        <w:pStyle w:val="CompactBullet"/>
      </w:pPr>
      <w:r>
        <w:t xml:space="preserve">• </w:t>
      </w:r>
      <w:r>
        <w:t>Readiness scorecard: 19 questions across Data, Infrastructure, Governance, Skills and Sandbox Readiness, scored out of 100 with the weakest dimension named as the priority gap.</w:t>
      </w:r>
    </w:p>
    <w:p>
      <w:pPr>
        <w:pStyle w:val="CompactBullet"/>
      </w:pPr>
      <w:r>
        <w:t xml:space="preserve">• </w:t>
      </w:r>
      <w:r>
        <w:t>Decision sandbox: weekly decisions—irrigate, fertilise, treat, inspect or hold—change six live crop vitals and pass through the full Y.3172 pipeline; the Policy node can visibly refuse unsafe actions.</w:t>
      </w:r>
    </w:p>
    <w:p>
      <w:pPr>
        <w:pStyle w:val="CompactBullet"/>
      </w:pPr>
      <w:r>
        <w:t xml:space="preserve">• </w:t>
      </w:r>
      <w:r>
        <w:t>Operations layer: plant register, irrigation/fertilisation scheduling, plant-health camera with offline fallback, weather-to-action alerts, farmers’ forum, local market and Farmy knowledge assistant.</w:t>
      </w:r>
    </w:p>
    <w:p>
      <w:r>
        <w:br w:type="page"/>
      </w:r>
    </w:p>
    <w:p>
      <w:pPr>
        <w:pStyle w:val="Heading1"/>
      </w:pPr>
      <w:r>
        <w:t>2. Use Case, Existing Gaps and Value</w:t>
      </w:r>
    </w:p>
    <w:p>
      <w:pPr>
        <w:pStyle w:val="Heading2"/>
      </w:pPr>
      <w:r>
        <w:t>2.1 Gaps in existing approaches</w:t>
      </w:r>
    </w:p>
    <w:tbl>
      <w:tblPr>
        <w:tblW w:type="auto" w:w="0"/>
        <w:jc w:val="center"/>
        <w:tblLayout w:type="fixed"/>
        <w:tblLook w:firstColumn="1" w:firstRow="1" w:lastColumn="0" w:lastRow="0" w:noHBand="0" w:noVBand="1" w:val="04A0"/>
      </w:tblPr>
      <w:tblGrid>
        <w:gridCol w:w="3619"/>
        <w:gridCol w:w="3619"/>
        <w:gridCol w:w="3619"/>
      </w:tblGrid>
      <w:tr>
        <w:trPr>
          <w:tblHeader w:val="true"/>
        </w:trPr>
        <w:tc>
          <w:tcPr>
            <w:tcW w:type="dxa" w:w="1944"/>
            <w:shd w:fill="173F2E"/>
            <w:tcBorders>
              <w:top w:val="single" w:sz="4" w:color="D8D2C3"/>
              <w:left w:val="single" w:sz="4" w:color="D8D2C3"/>
              <w:bottom w:val="single" w:sz="4" w:color="D8D2C3"/>
              <w:right w:val="single" w:sz="4" w:color="D8D2C3"/>
              <w:insideH w:val="single" w:sz="4" w:color="D8D2C3"/>
              <w:insideV w:val="single" w:sz="4" w:color="D8D2C3"/>
            </w:tcBorders>
            <w:tcMar>
              <w:top w:w="60" w:type="dxa"/>
              <w:start w:w="70" w:type="dxa"/>
              <w:bottom w:w="60" w:type="dxa"/>
              <w:end w:w="70" w:type="dxa"/>
            </w:tcMar>
            <w:vAlign w:val="center"/>
          </w:tcPr>
          <w:p>
            <w:r>
              <w:rPr>
                <w:b/>
                <w:color w:val="FFFFFF"/>
                <w:sz w:val="14"/>
              </w:rPr>
              <w:t>Gap</w:t>
            </w:r>
          </w:p>
        </w:tc>
        <w:tc>
          <w:tcPr>
            <w:tcW w:type="dxa" w:w="3816"/>
            <w:shd w:fill="173F2E"/>
            <w:tcBorders>
              <w:top w:val="single" w:sz="4" w:color="D8D2C3"/>
              <w:left w:val="single" w:sz="4" w:color="D8D2C3"/>
              <w:bottom w:val="single" w:sz="4" w:color="D8D2C3"/>
              <w:right w:val="single" w:sz="4" w:color="D8D2C3"/>
              <w:insideH w:val="single" w:sz="4" w:color="D8D2C3"/>
              <w:insideV w:val="single" w:sz="4" w:color="D8D2C3"/>
            </w:tcBorders>
            <w:tcMar>
              <w:top w:w="60" w:type="dxa"/>
              <w:start w:w="70" w:type="dxa"/>
              <w:bottom w:w="60" w:type="dxa"/>
              <w:end w:w="70" w:type="dxa"/>
            </w:tcMar>
            <w:vAlign w:val="center"/>
          </w:tcPr>
          <w:p>
            <w:r>
              <w:rPr>
                <w:b/>
                <w:color w:val="FFFFFF"/>
                <w:sz w:val="14"/>
              </w:rPr>
              <w:t>Why it matters</w:t>
            </w:r>
          </w:p>
        </w:tc>
        <w:tc>
          <w:tcPr>
            <w:tcW w:type="dxa" w:w="5112"/>
            <w:shd w:fill="173F2E"/>
            <w:tcBorders>
              <w:top w:val="single" w:sz="4" w:color="D8D2C3"/>
              <w:left w:val="single" w:sz="4" w:color="D8D2C3"/>
              <w:bottom w:val="single" w:sz="4" w:color="D8D2C3"/>
              <w:right w:val="single" w:sz="4" w:color="D8D2C3"/>
              <w:insideH w:val="single" w:sz="4" w:color="D8D2C3"/>
              <w:insideV w:val="single" w:sz="4" w:color="D8D2C3"/>
            </w:tcBorders>
            <w:tcMar>
              <w:top w:w="60" w:type="dxa"/>
              <w:start w:w="70" w:type="dxa"/>
              <w:bottom w:w="60" w:type="dxa"/>
              <w:end w:w="70" w:type="dxa"/>
            </w:tcMar>
            <w:vAlign w:val="center"/>
          </w:tcPr>
          <w:p>
            <w:r>
              <w:rPr>
                <w:b/>
                <w:color w:val="FFFFFF"/>
                <w:sz w:val="14"/>
              </w:rPr>
              <w:t>TerraTwin response</w:t>
            </w:r>
          </w:p>
        </w:tc>
      </w:tr>
      <w:tr>
        <w:tc>
          <w:tcPr>
            <w:tcW w:type="dxa" w:w="1944"/>
            <w:tcBorders>
              <w:top w:val="single" w:sz="4" w:color="D8D2C3"/>
              <w:left w:val="single" w:sz="4" w:color="D8D2C3"/>
              <w:bottom w:val="single" w:sz="4" w:color="D8D2C3"/>
              <w:right w:val="single" w:sz="4" w:color="D8D2C3"/>
              <w:insideH w:val="single" w:sz="4" w:color="D8D2C3"/>
              <w:insideV w:val="single" w:sz="4" w:color="D8D2C3"/>
            </w:tcBorders>
            <w:tcMar>
              <w:top w:w="60" w:type="dxa"/>
              <w:start w:w="70" w:type="dxa"/>
              <w:bottom w:w="60" w:type="dxa"/>
              <w:end w:w="70" w:type="dxa"/>
            </w:tcMar>
            <w:vAlign w:val="top"/>
          </w:tcPr>
          <w:p>
            <w:pPr>
              <w:spacing w:after="10"/>
            </w:pPr>
            <w:r>
              <w:rPr>
                <w:sz w:val="14"/>
              </w:rPr>
              <w:t>Farm-level readiness</w:t>
            </w:r>
          </w:p>
        </w:tc>
        <w:tc>
          <w:tcPr>
            <w:tcW w:type="dxa" w:w="3816"/>
            <w:tcBorders>
              <w:top w:val="single" w:sz="4" w:color="D8D2C3"/>
              <w:left w:val="single" w:sz="4" w:color="D8D2C3"/>
              <w:bottom w:val="single" w:sz="4" w:color="D8D2C3"/>
              <w:right w:val="single" w:sz="4" w:color="D8D2C3"/>
              <w:insideH w:val="single" w:sz="4" w:color="D8D2C3"/>
              <w:insideV w:val="single" w:sz="4" w:color="D8D2C3"/>
            </w:tcBorders>
            <w:tcMar>
              <w:top w:w="60" w:type="dxa"/>
              <w:start w:w="70" w:type="dxa"/>
              <w:bottom w:w="60" w:type="dxa"/>
              <w:end w:w="70" w:type="dxa"/>
            </w:tcMar>
            <w:vAlign w:val="top"/>
          </w:tcPr>
          <w:p>
            <w:pPr>
              <w:spacing w:after="10"/>
            </w:pPr>
            <w:r>
              <w:rPr>
                <w:sz w:val="14"/>
              </w:rPr>
              <w:t>National or regional readiness indicators do not reveal whether an individual holding lacks data, connectivity, skills, governance or a safe testing route.</w:t>
            </w:r>
          </w:p>
        </w:tc>
        <w:tc>
          <w:tcPr>
            <w:tcW w:type="dxa" w:w="5112"/>
            <w:tcBorders>
              <w:top w:val="single" w:sz="4" w:color="D8D2C3"/>
              <w:left w:val="single" w:sz="4" w:color="D8D2C3"/>
              <w:bottom w:val="single" w:sz="4" w:color="D8D2C3"/>
              <w:right w:val="single" w:sz="4" w:color="D8D2C3"/>
              <w:insideH w:val="single" w:sz="4" w:color="D8D2C3"/>
              <w:insideV w:val="single" w:sz="4" w:color="D8D2C3"/>
            </w:tcBorders>
            <w:tcMar>
              <w:top w:w="60" w:type="dxa"/>
              <w:start w:w="70" w:type="dxa"/>
              <w:bottom w:w="60" w:type="dxa"/>
              <w:end w:w="70" w:type="dxa"/>
            </w:tcMar>
            <w:vAlign w:val="top"/>
          </w:tcPr>
          <w:p>
            <w:pPr>
              <w:spacing w:after="10"/>
            </w:pPr>
            <w:r>
              <w:rPr>
                <w:sz w:val="14"/>
              </w:rPr>
              <w:t>Five-dimension score with a named priority gap enables targeted support before investment.</w:t>
            </w:r>
          </w:p>
        </w:tc>
      </w:tr>
      <w:tr>
        <w:tc>
          <w:tcPr>
            <w:tcW w:type="dxa" w:w="1944"/>
            <w:tcBorders>
              <w:top w:val="single" w:sz="4" w:color="D8D2C3"/>
              <w:left w:val="single" w:sz="4" w:color="D8D2C3"/>
              <w:bottom w:val="single" w:sz="4" w:color="D8D2C3"/>
              <w:right w:val="single" w:sz="4" w:color="D8D2C3"/>
              <w:insideH w:val="single" w:sz="4" w:color="D8D2C3"/>
              <w:insideV w:val="single" w:sz="4" w:color="D8D2C3"/>
            </w:tcBorders>
            <w:tcMar>
              <w:top w:w="60" w:type="dxa"/>
              <w:start w:w="70" w:type="dxa"/>
              <w:bottom w:w="60" w:type="dxa"/>
              <w:end w:w="70" w:type="dxa"/>
            </w:tcMar>
            <w:vAlign w:val="top"/>
          </w:tcPr>
          <w:p>
            <w:pPr>
              <w:spacing w:after="10"/>
            </w:pPr>
            <w:r>
              <w:rPr>
                <w:sz w:val="14"/>
              </w:rPr>
              <w:t>Unsafe first deployment</w:t>
            </w:r>
          </w:p>
        </w:tc>
        <w:tc>
          <w:tcPr>
            <w:tcW w:type="dxa" w:w="3816"/>
            <w:tcBorders>
              <w:top w:val="single" w:sz="4" w:color="D8D2C3"/>
              <w:left w:val="single" w:sz="4" w:color="D8D2C3"/>
              <w:bottom w:val="single" w:sz="4" w:color="D8D2C3"/>
              <w:right w:val="single" w:sz="4" w:color="D8D2C3"/>
              <w:insideH w:val="single" w:sz="4" w:color="D8D2C3"/>
              <w:insideV w:val="single" w:sz="4" w:color="D8D2C3"/>
            </w:tcBorders>
            <w:tcMar>
              <w:top w:w="60" w:type="dxa"/>
              <w:start w:w="70" w:type="dxa"/>
              <w:bottom w:w="60" w:type="dxa"/>
              <w:end w:w="70" w:type="dxa"/>
            </w:tcMar>
            <w:vAlign w:val="top"/>
          </w:tcPr>
          <w:p>
            <w:pPr>
              <w:spacing w:after="10"/>
            </w:pPr>
            <w:r>
              <w:rPr>
                <w:sz w:val="14"/>
              </w:rPr>
              <w:t>AI advice can be acted upon before it is validated against local agronomic or governance constraints.</w:t>
            </w:r>
          </w:p>
        </w:tc>
        <w:tc>
          <w:tcPr>
            <w:tcW w:type="dxa" w:w="5112"/>
            <w:tcBorders>
              <w:top w:val="single" w:sz="4" w:color="D8D2C3"/>
              <w:left w:val="single" w:sz="4" w:color="D8D2C3"/>
              <w:bottom w:val="single" w:sz="4" w:color="D8D2C3"/>
              <w:right w:val="single" w:sz="4" w:color="D8D2C3"/>
              <w:insideH w:val="single" w:sz="4" w:color="D8D2C3"/>
              <w:insideV w:val="single" w:sz="4" w:color="D8D2C3"/>
            </w:tcBorders>
            <w:tcMar>
              <w:top w:w="60" w:type="dxa"/>
              <w:start w:w="70" w:type="dxa"/>
              <w:bottom w:w="60" w:type="dxa"/>
              <w:end w:w="70" w:type="dxa"/>
            </w:tcMar>
            <w:vAlign w:val="top"/>
          </w:tcPr>
          <w:p>
            <w:pPr>
              <w:spacing w:after="10"/>
            </w:pPr>
            <w:r>
              <w:rPr>
                <w:sz w:val="14"/>
              </w:rPr>
              <w:t>Every candidate decision is simulated first; Policy rules can block it before it reaches the user.</w:t>
            </w:r>
          </w:p>
        </w:tc>
      </w:tr>
      <w:tr>
        <w:tc>
          <w:tcPr>
            <w:tcW w:type="dxa" w:w="1944"/>
            <w:tcBorders>
              <w:top w:val="single" w:sz="4" w:color="D8D2C3"/>
              <w:left w:val="single" w:sz="4" w:color="D8D2C3"/>
              <w:bottom w:val="single" w:sz="4" w:color="D8D2C3"/>
              <w:right w:val="single" w:sz="4" w:color="D8D2C3"/>
              <w:insideH w:val="single" w:sz="4" w:color="D8D2C3"/>
              <w:insideV w:val="single" w:sz="4" w:color="D8D2C3"/>
            </w:tcBorders>
            <w:tcMar>
              <w:top w:w="60" w:type="dxa"/>
              <w:start w:w="70" w:type="dxa"/>
              <w:bottom w:w="60" w:type="dxa"/>
              <w:end w:w="70" w:type="dxa"/>
            </w:tcMar>
            <w:vAlign w:val="top"/>
          </w:tcPr>
          <w:p>
            <w:pPr>
              <w:spacing w:after="10"/>
            </w:pPr>
            <w:r>
              <w:rPr>
                <w:sz w:val="14"/>
              </w:rPr>
              <w:t>Weak operational data</w:t>
            </w:r>
          </w:p>
        </w:tc>
        <w:tc>
          <w:tcPr>
            <w:tcW w:type="dxa" w:w="3816"/>
            <w:tcBorders>
              <w:top w:val="single" w:sz="4" w:color="D8D2C3"/>
              <w:left w:val="single" w:sz="4" w:color="D8D2C3"/>
              <w:bottom w:val="single" w:sz="4" w:color="D8D2C3"/>
              <w:right w:val="single" w:sz="4" w:color="D8D2C3"/>
              <w:insideH w:val="single" w:sz="4" w:color="D8D2C3"/>
              <w:insideV w:val="single" w:sz="4" w:color="D8D2C3"/>
            </w:tcBorders>
            <w:tcMar>
              <w:top w:w="60" w:type="dxa"/>
              <w:start w:w="70" w:type="dxa"/>
              <w:bottom w:w="60" w:type="dxa"/>
              <w:end w:w="70" w:type="dxa"/>
            </w:tcMar>
            <w:vAlign w:val="top"/>
          </w:tcPr>
          <w:p>
            <w:pPr>
              <w:spacing w:after="10"/>
            </w:pPr>
            <w:r>
              <w:rPr>
                <w:sz w:val="14"/>
              </w:rPr>
              <w:t>A survey captures readiness at one moment but does not create the farm history needed for future AI.</w:t>
            </w:r>
          </w:p>
        </w:tc>
        <w:tc>
          <w:tcPr>
            <w:tcW w:type="dxa" w:w="5112"/>
            <w:tcBorders>
              <w:top w:val="single" w:sz="4" w:color="D8D2C3"/>
              <w:left w:val="single" w:sz="4" w:color="D8D2C3"/>
              <w:bottom w:val="single" w:sz="4" w:color="D8D2C3"/>
              <w:right w:val="single" w:sz="4" w:color="D8D2C3"/>
              <w:insideH w:val="single" w:sz="4" w:color="D8D2C3"/>
              <w:insideV w:val="single" w:sz="4" w:color="D8D2C3"/>
            </w:tcBorders>
            <w:tcMar>
              <w:top w:w="60" w:type="dxa"/>
              <w:start w:w="70" w:type="dxa"/>
              <w:bottom w:w="60" w:type="dxa"/>
              <w:end w:w="70" w:type="dxa"/>
            </w:tcMar>
            <w:vAlign w:val="top"/>
          </w:tcPr>
          <w:p>
            <w:pPr>
              <w:spacing w:after="10"/>
            </w:pPr>
            <w:r>
              <w:rPr>
                <w:sz w:val="14"/>
              </w:rPr>
              <w:t>Each logged irrigation, scan and schedule change becomes a farm-owned operating record.</w:t>
            </w:r>
          </w:p>
        </w:tc>
      </w:tr>
      <w:tr>
        <w:tc>
          <w:tcPr>
            <w:tcW w:type="dxa" w:w="1944"/>
            <w:tcBorders>
              <w:top w:val="single" w:sz="4" w:color="D8D2C3"/>
              <w:left w:val="single" w:sz="4" w:color="D8D2C3"/>
              <w:bottom w:val="single" w:sz="4" w:color="D8D2C3"/>
              <w:right w:val="single" w:sz="4" w:color="D8D2C3"/>
              <w:insideH w:val="single" w:sz="4" w:color="D8D2C3"/>
              <w:insideV w:val="single" w:sz="4" w:color="D8D2C3"/>
            </w:tcBorders>
            <w:tcMar>
              <w:top w:w="60" w:type="dxa"/>
              <w:start w:w="70" w:type="dxa"/>
              <w:bottom w:w="60" w:type="dxa"/>
              <w:end w:w="70" w:type="dxa"/>
            </w:tcMar>
            <w:vAlign w:val="top"/>
          </w:tcPr>
          <w:p>
            <w:pPr>
              <w:spacing w:after="10"/>
            </w:pPr>
            <w:r>
              <w:rPr>
                <w:sz w:val="14"/>
              </w:rPr>
              <w:t>Connectivity barrier</w:t>
            </w:r>
          </w:p>
        </w:tc>
        <w:tc>
          <w:tcPr>
            <w:tcW w:type="dxa" w:w="3816"/>
            <w:tcBorders>
              <w:top w:val="single" w:sz="4" w:color="D8D2C3"/>
              <w:left w:val="single" w:sz="4" w:color="D8D2C3"/>
              <w:bottom w:val="single" w:sz="4" w:color="D8D2C3"/>
              <w:right w:val="single" w:sz="4" w:color="D8D2C3"/>
              <w:insideH w:val="single" w:sz="4" w:color="D8D2C3"/>
              <w:insideV w:val="single" w:sz="4" w:color="D8D2C3"/>
            </w:tcBorders>
            <w:tcMar>
              <w:top w:w="60" w:type="dxa"/>
              <w:start w:w="70" w:type="dxa"/>
              <w:bottom w:w="60" w:type="dxa"/>
              <w:end w:w="70" w:type="dxa"/>
            </w:tcMar>
            <w:vAlign w:val="top"/>
          </w:tcPr>
          <w:p>
            <w:pPr>
              <w:spacing w:after="10"/>
            </w:pPr>
            <w:r>
              <w:rPr>
                <w:sz w:val="14"/>
              </w:rPr>
              <w:t>Cloud-only tools can fail where the field signal is weakest.</w:t>
            </w:r>
          </w:p>
        </w:tc>
        <w:tc>
          <w:tcPr>
            <w:tcW w:type="dxa" w:w="5112"/>
            <w:tcBorders>
              <w:top w:val="single" w:sz="4" w:color="D8D2C3"/>
              <w:left w:val="single" w:sz="4" w:color="D8D2C3"/>
              <w:bottom w:val="single" w:sz="4" w:color="D8D2C3"/>
              <w:right w:val="single" w:sz="4" w:color="D8D2C3"/>
              <w:insideH w:val="single" w:sz="4" w:color="D8D2C3"/>
              <w:insideV w:val="single" w:sz="4" w:color="D8D2C3"/>
            </w:tcBorders>
            <w:tcMar>
              <w:top w:w="60" w:type="dxa"/>
              <w:start w:w="70" w:type="dxa"/>
              <w:bottom w:w="60" w:type="dxa"/>
              <w:end w:w="70" w:type="dxa"/>
            </w:tcMar>
            <w:vAlign w:val="top"/>
          </w:tcPr>
          <w:p>
            <w:pPr>
              <w:spacing w:after="10"/>
            </w:pPr>
            <w:r>
              <w:rPr>
                <w:sz w:val="14"/>
              </w:rPr>
              <w:t>Core app works locally; photo analysis and weather features degrade to documented offline fallbacks.</w:t>
            </w:r>
          </w:p>
        </w:tc>
      </w:tr>
      <w:tr>
        <w:tc>
          <w:tcPr>
            <w:tcW w:type="dxa" w:w="1944"/>
            <w:tcBorders>
              <w:top w:val="single" w:sz="4" w:color="D8D2C3"/>
              <w:left w:val="single" w:sz="4" w:color="D8D2C3"/>
              <w:bottom w:val="single" w:sz="4" w:color="D8D2C3"/>
              <w:right w:val="single" w:sz="4" w:color="D8D2C3"/>
              <w:insideH w:val="single" w:sz="4" w:color="D8D2C3"/>
              <w:insideV w:val="single" w:sz="4" w:color="D8D2C3"/>
            </w:tcBorders>
            <w:tcMar>
              <w:top w:w="60" w:type="dxa"/>
              <w:start w:w="70" w:type="dxa"/>
              <w:bottom w:w="60" w:type="dxa"/>
              <w:end w:w="70" w:type="dxa"/>
            </w:tcMar>
            <w:vAlign w:val="top"/>
          </w:tcPr>
          <w:p>
            <w:pPr>
              <w:spacing w:after="10"/>
            </w:pPr>
            <w:r>
              <w:rPr>
                <w:sz w:val="14"/>
              </w:rPr>
              <w:t>Local-context mismatch</w:t>
            </w:r>
          </w:p>
        </w:tc>
        <w:tc>
          <w:tcPr>
            <w:tcW w:type="dxa" w:w="3816"/>
            <w:tcBorders>
              <w:top w:val="single" w:sz="4" w:color="D8D2C3"/>
              <w:left w:val="single" w:sz="4" w:color="D8D2C3"/>
              <w:bottom w:val="single" w:sz="4" w:color="D8D2C3"/>
              <w:right w:val="single" w:sz="4" w:color="D8D2C3"/>
              <w:insideH w:val="single" w:sz="4" w:color="D8D2C3"/>
              <w:insideV w:val="single" w:sz="4" w:color="D8D2C3"/>
            </w:tcBorders>
            <w:tcMar>
              <w:top w:w="60" w:type="dxa"/>
              <w:start w:w="70" w:type="dxa"/>
              <w:bottom w:w="60" w:type="dxa"/>
              <w:end w:w="70" w:type="dxa"/>
            </w:tcMar>
            <w:vAlign w:val="top"/>
          </w:tcPr>
          <w:p>
            <w:pPr>
              <w:spacing w:after="10"/>
            </w:pPr>
            <w:r>
              <w:rPr>
                <w:sz w:val="14"/>
              </w:rPr>
              <w:t>Crop suitability and water decisions vary strongly between coast, plains, foothills and highlands.</w:t>
            </w:r>
          </w:p>
        </w:tc>
        <w:tc>
          <w:tcPr>
            <w:tcW w:type="dxa" w:w="5112"/>
            <w:tcBorders>
              <w:top w:val="single" w:sz="4" w:color="D8D2C3"/>
              <w:left w:val="single" w:sz="4" w:color="D8D2C3"/>
              <w:bottom w:val="single" w:sz="4" w:color="D8D2C3"/>
              <w:right w:val="single" w:sz="4" w:color="D8D2C3"/>
              <w:insideH w:val="single" w:sz="4" w:color="D8D2C3"/>
              <w:insideV w:val="single" w:sz="4" w:color="D8D2C3"/>
            </w:tcBorders>
            <w:tcMar>
              <w:top w:w="60" w:type="dxa"/>
              <w:start w:w="70" w:type="dxa"/>
              <w:bottom w:w="60" w:type="dxa"/>
              <w:end w:w="70" w:type="dxa"/>
            </w:tcMar>
            <w:vAlign w:val="top"/>
          </w:tcPr>
          <w:p>
            <w:pPr>
              <w:spacing w:after="10"/>
            </w:pPr>
            <w:r>
              <w:rPr>
                <w:sz w:val="14"/>
              </w:rPr>
              <w:t>Simulation uses Jazan sub-region, soil, season and weather context before generating outcomes.</w:t>
            </w:r>
          </w:p>
        </w:tc>
      </w:tr>
    </w:tbl>
    <w:p>
      <w:pPr>
        <w:pStyle w:val="Heading2"/>
      </w:pPr>
      <w:r>
        <w:t>2.2 Practical value</w:t>
      </w:r>
    </w:p>
    <w:p>
      <w:pPr>
        <w:pStyle w:val="CompactBullet"/>
      </w:pPr>
      <w:r>
        <w:t xml:space="preserve">• </w:t>
      </w:r>
      <w:r>
        <w:t>Failure without cost: a wrong irrigation or fertiliser decision loses a simulated week or season instead of water, inputs and yield.</w:t>
      </w:r>
    </w:p>
    <w:p>
      <w:pPr>
        <w:pStyle w:val="CompactBullet"/>
      </w:pPr>
      <w:r>
        <w:t xml:space="preserve">• </w:t>
      </w:r>
      <w:r>
        <w:t>Governance made executable: privacy and safe-practice rules are represented in the P (Policy) node and logged as part of the decision path.</w:t>
      </w:r>
    </w:p>
    <w:p>
      <w:pPr>
        <w:pStyle w:val="CompactBullet"/>
      </w:pPr>
      <w:r>
        <w:t xml:space="preserve">• </w:t>
      </w:r>
      <w:r>
        <w:t>Readiness that maintains itself: the heaviest readiness requirement—usable farm data—improves as the farmer uses the scheduling, scan and simulation features.</w:t>
      </w:r>
    </w:p>
    <w:p>
      <w:pPr>
        <w:pStyle w:val="CompactBullet"/>
      </w:pPr>
      <w:r>
        <w:t xml:space="preserve">• </w:t>
      </w:r>
      <w:r>
        <w:t>Water efficiency at the decision point: rain-aware rescheduling can skip unnecessary irrigation and count estimated litres saved where behaviour changes.</w:t>
      </w:r>
    </w:p>
    <w:p>
      <w:pPr>
        <w:pStyle w:val="CompactBullet"/>
      </w:pPr>
      <w:r>
        <w:t xml:space="preserve">• </w:t>
      </w:r>
      <w:r>
        <w:t>Inclusive interaction: the app is designed for phone use and supports voice notes in the community layer, reducing dependence on typing.</w:t>
      </w:r>
    </w:p>
    <w:p>
      <w:pPr>
        <w:pStyle w:val="Heading2"/>
      </w:pPr>
      <w:r>
        <w:t>2.3 AI Readiness alignment</w:t>
      </w:r>
    </w:p>
    <w:p>
      <w:r>
        <w:t>The project follows the hackathon framing of AI readiness as more than model performance. TerraTwin’s operational five dimensions are a farm-level implementation lens: Data and Infrastructure address foundational capacity; Skills addresses adoption capability; Governance addresses consent, privacy and safe use; Sandbox Readiness addresses controlled experimentation, validation and human oversight. The solution is also aligned to national AI strategy, water-efficiency priorities and farm-level deployment realities through the policy mapping below.</w:t>
      </w:r>
    </w:p>
    <w:p>
      <w:r>
        <w:br w:type="page"/>
      </w:r>
    </w:p>
    <w:p>
      <w:pPr>
        <w:pStyle w:val="Heading1"/>
      </w:pPr>
      <w:r>
        <w:t>3. Mapped Documents and Y.3172 Pipeline</w:t>
      </w:r>
    </w:p>
    <w:p>
      <w:r>
        <w:t>For each Y.3172 node, TerraTwin identifies both the technical role and the policy/strategy materials that support responsible implementation. The complete submission knowledge base contains 505 authentic public sources; this table lists the highest-priority sources used directly by the prototype.</w:t>
      </w:r>
    </w:p>
    <w:tbl>
      <w:tblPr>
        <w:tblW w:type="auto" w:w="0"/>
        <w:jc w:val="center"/>
        <w:tblLayout w:type="fixed"/>
        <w:tblLook w:firstColumn="1" w:firstRow="1" w:lastColumn="0" w:lastRow="0" w:noHBand="0" w:noVBand="1" w:val="04A0"/>
      </w:tblPr>
      <w:tblGrid>
        <w:gridCol w:w="3619"/>
        <w:gridCol w:w="3619"/>
        <w:gridCol w:w="3619"/>
      </w:tblGrid>
      <w:tr>
        <w:trPr>
          <w:tblHeader w:val="true"/>
        </w:trPr>
        <w:tc>
          <w:tcPr>
            <w:tcW w:type="dxa" w:w="1080"/>
            <w:shd w:fill="173F2E"/>
            <w:tcBorders>
              <w:top w:val="single" w:sz="4" w:color="D8D2C3"/>
              <w:left w:val="single" w:sz="4" w:color="D8D2C3"/>
              <w:bottom w:val="single" w:sz="4" w:color="D8D2C3"/>
              <w:right w:val="single" w:sz="4" w:color="D8D2C3"/>
              <w:insideH w:val="single" w:sz="4" w:color="D8D2C3"/>
              <w:insideV w:val="single" w:sz="4" w:color="D8D2C3"/>
            </w:tcBorders>
            <w:tcMar>
              <w:top w:w="60" w:type="dxa"/>
              <w:start w:w="70" w:type="dxa"/>
              <w:bottom w:w="60" w:type="dxa"/>
              <w:end w:w="70" w:type="dxa"/>
            </w:tcMar>
            <w:vAlign w:val="center"/>
          </w:tcPr>
          <w:p>
            <w:r>
              <w:rPr>
                <w:b/>
                <w:color w:val="FFFFFF"/>
                <w:sz w:val="14"/>
              </w:rPr>
              <w:t>Node</w:t>
            </w:r>
          </w:p>
        </w:tc>
        <w:tc>
          <w:tcPr>
            <w:tcW w:type="dxa" w:w="4320"/>
            <w:shd w:fill="173F2E"/>
            <w:tcBorders>
              <w:top w:val="single" w:sz="4" w:color="D8D2C3"/>
              <w:left w:val="single" w:sz="4" w:color="D8D2C3"/>
              <w:bottom w:val="single" w:sz="4" w:color="D8D2C3"/>
              <w:right w:val="single" w:sz="4" w:color="D8D2C3"/>
              <w:insideH w:val="single" w:sz="4" w:color="D8D2C3"/>
              <w:insideV w:val="single" w:sz="4" w:color="D8D2C3"/>
            </w:tcBorders>
            <w:tcMar>
              <w:top w:w="60" w:type="dxa"/>
              <w:start w:w="70" w:type="dxa"/>
              <w:bottom w:w="60" w:type="dxa"/>
              <w:end w:w="70" w:type="dxa"/>
            </w:tcMar>
            <w:vAlign w:val="center"/>
          </w:tcPr>
          <w:p>
            <w:r>
              <w:rPr>
                <w:b/>
                <w:color w:val="FFFFFF"/>
                <w:sz w:val="14"/>
              </w:rPr>
              <w:t>TerraTwin implementation</w:t>
            </w:r>
          </w:p>
        </w:tc>
        <w:tc>
          <w:tcPr>
            <w:tcW w:type="dxa" w:w="5472"/>
            <w:shd w:fill="173F2E"/>
            <w:tcBorders>
              <w:top w:val="single" w:sz="4" w:color="D8D2C3"/>
              <w:left w:val="single" w:sz="4" w:color="D8D2C3"/>
              <w:bottom w:val="single" w:sz="4" w:color="D8D2C3"/>
              <w:right w:val="single" w:sz="4" w:color="D8D2C3"/>
              <w:insideH w:val="single" w:sz="4" w:color="D8D2C3"/>
              <w:insideV w:val="single" w:sz="4" w:color="D8D2C3"/>
            </w:tcBorders>
            <w:tcMar>
              <w:top w:w="60" w:type="dxa"/>
              <w:start w:w="70" w:type="dxa"/>
              <w:bottom w:w="60" w:type="dxa"/>
              <w:end w:w="70" w:type="dxa"/>
            </w:tcMar>
            <w:vAlign w:val="center"/>
          </w:tcPr>
          <w:p>
            <w:r>
              <w:rPr>
                <w:b/>
                <w:color w:val="FFFFFF"/>
                <w:sz w:val="14"/>
              </w:rPr>
              <w:t>Mapped documents / policy rationale</w:t>
            </w:r>
          </w:p>
        </w:tc>
      </w:tr>
      <w:tr>
        <w:tc>
          <w:tcPr>
            <w:tcW w:type="dxa" w:w="1080"/>
            <w:tcBorders>
              <w:top w:val="single" w:sz="4" w:color="D8D2C3"/>
              <w:left w:val="single" w:sz="4" w:color="D8D2C3"/>
              <w:bottom w:val="single" w:sz="4" w:color="D8D2C3"/>
              <w:right w:val="single" w:sz="4" w:color="D8D2C3"/>
              <w:insideH w:val="single" w:sz="4" w:color="D8D2C3"/>
              <w:insideV w:val="single" w:sz="4" w:color="D8D2C3"/>
            </w:tcBorders>
            <w:tcMar>
              <w:top w:w="60" w:type="dxa"/>
              <w:start w:w="70" w:type="dxa"/>
              <w:bottom w:w="60" w:type="dxa"/>
              <w:end w:w="70" w:type="dxa"/>
            </w:tcMar>
            <w:vAlign w:val="top"/>
          </w:tcPr>
          <w:p>
            <w:pPr>
              <w:spacing w:after="10"/>
            </w:pPr>
            <w:r>
              <w:rPr>
                <w:sz w:val="14"/>
              </w:rPr>
              <w:t>SRC</w:t>
            </w:r>
          </w:p>
        </w:tc>
        <w:tc>
          <w:tcPr>
            <w:tcW w:type="dxa" w:w="4320"/>
            <w:tcBorders>
              <w:top w:val="single" w:sz="4" w:color="D8D2C3"/>
              <w:left w:val="single" w:sz="4" w:color="D8D2C3"/>
              <w:bottom w:val="single" w:sz="4" w:color="D8D2C3"/>
              <w:right w:val="single" w:sz="4" w:color="D8D2C3"/>
              <w:insideH w:val="single" w:sz="4" w:color="D8D2C3"/>
              <w:insideV w:val="single" w:sz="4" w:color="D8D2C3"/>
            </w:tcBorders>
            <w:tcMar>
              <w:top w:w="60" w:type="dxa"/>
              <w:start w:w="70" w:type="dxa"/>
              <w:bottom w:w="60" w:type="dxa"/>
              <w:end w:w="70" w:type="dxa"/>
            </w:tcMar>
            <w:vAlign w:val="top"/>
          </w:tcPr>
          <w:p>
            <w:pPr>
              <w:spacing w:after="10"/>
            </w:pPr>
            <w:r>
              <w:rPr>
                <w:sz w:val="14"/>
              </w:rPr>
              <w:t>Farm profile, soil, irrigation, weather, prior yield and pest observations.</w:t>
            </w:r>
          </w:p>
        </w:tc>
        <w:tc>
          <w:tcPr>
            <w:tcW w:type="dxa" w:w="5472"/>
            <w:tcBorders>
              <w:top w:val="single" w:sz="4" w:color="D8D2C3"/>
              <w:left w:val="single" w:sz="4" w:color="D8D2C3"/>
              <w:bottom w:val="single" w:sz="4" w:color="D8D2C3"/>
              <w:right w:val="single" w:sz="4" w:color="D8D2C3"/>
              <w:insideH w:val="single" w:sz="4" w:color="D8D2C3"/>
              <w:insideV w:val="single" w:sz="4" w:color="D8D2C3"/>
            </w:tcBorders>
            <w:tcMar>
              <w:top w:w="60" w:type="dxa"/>
              <w:start w:w="70" w:type="dxa"/>
              <w:bottom w:w="60" w:type="dxa"/>
              <w:end w:w="70" w:type="dxa"/>
            </w:tcMar>
            <w:vAlign w:val="top"/>
          </w:tcPr>
          <w:p>
            <w:pPr>
              <w:spacing w:after="10"/>
            </w:pPr>
            <w:r>
              <w:rPr>
                <w:sz w:val="14"/>
              </w:rPr>
              <w:t>PDPL (SDAIA); MEWA agriculture/water guidance; GASTAT agricultural statistics; FAO/AQUASTAT.</w:t>
            </w:r>
          </w:p>
        </w:tc>
      </w:tr>
      <w:tr>
        <w:tc>
          <w:tcPr>
            <w:tcW w:type="dxa" w:w="1080"/>
            <w:tcBorders>
              <w:top w:val="single" w:sz="4" w:color="D8D2C3"/>
              <w:left w:val="single" w:sz="4" w:color="D8D2C3"/>
              <w:bottom w:val="single" w:sz="4" w:color="D8D2C3"/>
              <w:right w:val="single" w:sz="4" w:color="D8D2C3"/>
              <w:insideH w:val="single" w:sz="4" w:color="D8D2C3"/>
              <w:insideV w:val="single" w:sz="4" w:color="D8D2C3"/>
            </w:tcBorders>
            <w:tcMar>
              <w:top w:w="60" w:type="dxa"/>
              <w:start w:w="70" w:type="dxa"/>
              <w:bottom w:w="60" w:type="dxa"/>
              <w:end w:w="70" w:type="dxa"/>
            </w:tcMar>
            <w:vAlign w:val="top"/>
          </w:tcPr>
          <w:p>
            <w:pPr>
              <w:spacing w:after="10"/>
            </w:pPr>
            <w:r>
              <w:rPr>
                <w:sz w:val="14"/>
              </w:rPr>
              <w:t>C</w:t>
            </w:r>
          </w:p>
        </w:tc>
        <w:tc>
          <w:tcPr>
            <w:tcW w:type="dxa" w:w="4320"/>
            <w:tcBorders>
              <w:top w:val="single" w:sz="4" w:color="D8D2C3"/>
              <w:left w:val="single" w:sz="4" w:color="D8D2C3"/>
              <w:bottom w:val="single" w:sz="4" w:color="D8D2C3"/>
              <w:right w:val="single" w:sz="4" w:color="D8D2C3"/>
              <w:insideH w:val="single" w:sz="4" w:color="D8D2C3"/>
              <w:insideV w:val="single" w:sz="4" w:color="D8D2C3"/>
            </w:tcBorders>
            <w:tcMar>
              <w:top w:w="60" w:type="dxa"/>
              <w:start w:w="70" w:type="dxa"/>
              <w:bottom w:w="60" w:type="dxa"/>
              <w:end w:w="70" w:type="dxa"/>
            </w:tcMar>
            <w:vAlign w:val="top"/>
          </w:tcPr>
          <w:p>
            <w:pPr>
              <w:spacing w:after="10"/>
            </w:pPr>
            <w:r>
              <w:rPr>
                <w:sz w:val="14"/>
              </w:rPr>
              <w:t>Consolidates observations into a farm profile and local operational record.</w:t>
            </w:r>
          </w:p>
        </w:tc>
        <w:tc>
          <w:tcPr>
            <w:tcW w:type="dxa" w:w="5472"/>
            <w:tcBorders>
              <w:top w:val="single" w:sz="4" w:color="D8D2C3"/>
              <w:left w:val="single" w:sz="4" w:color="D8D2C3"/>
              <w:bottom w:val="single" w:sz="4" w:color="D8D2C3"/>
              <w:right w:val="single" w:sz="4" w:color="D8D2C3"/>
              <w:insideH w:val="single" w:sz="4" w:color="D8D2C3"/>
              <w:insideV w:val="single" w:sz="4" w:color="D8D2C3"/>
            </w:tcBorders>
            <w:tcMar>
              <w:top w:w="60" w:type="dxa"/>
              <w:start w:w="70" w:type="dxa"/>
              <w:bottom w:w="60" w:type="dxa"/>
              <w:end w:w="70" w:type="dxa"/>
            </w:tcMar>
            <w:vAlign w:val="top"/>
          </w:tcPr>
          <w:p>
            <w:pPr>
              <w:spacing w:after="10"/>
            </w:pPr>
            <w:r>
              <w:rPr>
                <w:sz w:val="14"/>
              </w:rPr>
              <w:t>PDPL purpose limitation/consent; SDAIA data governance; ITU-T Y.3172 data-flow role.</w:t>
            </w:r>
          </w:p>
        </w:tc>
      </w:tr>
      <w:tr>
        <w:tc>
          <w:tcPr>
            <w:tcW w:type="dxa" w:w="1080"/>
            <w:tcBorders>
              <w:top w:val="single" w:sz="4" w:color="D8D2C3"/>
              <w:left w:val="single" w:sz="4" w:color="D8D2C3"/>
              <w:bottom w:val="single" w:sz="4" w:color="D8D2C3"/>
              <w:right w:val="single" w:sz="4" w:color="D8D2C3"/>
              <w:insideH w:val="single" w:sz="4" w:color="D8D2C3"/>
              <w:insideV w:val="single" w:sz="4" w:color="D8D2C3"/>
            </w:tcBorders>
            <w:tcMar>
              <w:top w:w="60" w:type="dxa"/>
              <w:start w:w="70" w:type="dxa"/>
              <w:bottom w:w="60" w:type="dxa"/>
              <w:end w:w="70" w:type="dxa"/>
            </w:tcMar>
            <w:vAlign w:val="top"/>
          </w:tcPr>
          <w:p>
            <w:pPr>
              <w:spacing w:after="10"/>
            </w:pPr>
            <w:r>
              <w:rPr>
                <w:sz w:val="14"/>
              </w:rPr>
              <w:t>PP</w:t>
            </w:r>
          </w:p>
        </w:tc>
        <w:tc>
          <w:tcPr>
            <w:tcW w:type="dxa" w:w="4320"/>
            <w:tcBorders>
              <w:top w:val="single" w:sz="4" w:color="D8D2C3"/>
              <w:left w:val="single" w:sz="4" w:color="D8D2C3"/>
              <w:bottom w:val="single" w:sz="4" w:color="D8D2C3"/>
              <w:right w:val="single" w:sz="4" w:color="D8D2C3"/>
              <w:insideH w:val="single" w:sz="4" w:color="D8D2C3"/>
              <w:insideV w:val="single" w:sz="4" w:color="D8D2C3"/>
            </w:tcBorders>
            <w:tcMar>
              <w:top w:w="60" w:type="dxa"/>
              <w:start w:w="70" w:type="dxa"/>
              <w:bottom w:w="60" w:type="dxa"/>
              <w:end w:w="70" w:type="dxa"/>
            </w:tcMar>
            <w:vAlign w:val="top"/>
          </w:tcPr>
          <w:p>
            <w:pPr>
              <w:spacing w:after="10"/>
            </w:pPr>
            <w:r>
              <w:rPr>
                <w:sz w:val="14"/>
              </w:rPr>
              <w:t>Normalises inputs into readiness and simulation formats.</w:t>
            </w:r>
          </w:p>
        </w:tc>
        <w:tc>
          <w:tcPr>
            <w:tcW w:type="dxa" w:w="5472"/>
            <w:tcBorders>
              <w:top w:val="single" w:sz="4" w:color="D8D2C3"/>
              <w:left w:val="single" w:sz="4" w:color="D8D2C3"/>
              <w:bottom w:val="single" w:sz="4" w:color="D8D2C3"/>
              <w:right w:val="single" w:sz="4" w:color="D8D2C3"/>
              <w:insideH w:val="single" w:sz="4" w:color="D8D2C3"/>
              <w:insideV w:val="single" w:sz="4" w:color="D8D2C3"/>
            </w:tcBorders>
            <w:tcMar>
              <w:top w:w="60" w:type="dxa"/>
              <w:start w:w="70" w:type="dxa"/>
              <w:bottom w:w="60" w:type="dxa"/>
              <w:end w:w="70" w:type="dxa"/>
            </w:tcMar>
            <w:vAlign w:val="top"/>
          </w:tcPr>
          <w:p>
            <w:pPr>
              <w:spacing w:after="10"/>
            </w:pPr>
            <w:r>
              <w:rPr>
                <w:sz w:val="14"/>
              </w:rPr>
              <w:t>ITU-T Y.3172; data-quality and governance guidance represented in KB; transparent transformation rules.</w:t>
            </w:r>
          </w:p>
        </w:tc>
      </w:tr>
      <w:tr>
        <w:tc>
          <w:tcPr>
            <w:tcW w:type="dxa" w:w="1080"/>
            <w:tcBorders>
              <w:top w:val="single" w:sz="4" w:color="D8D2C3"/>
              <w:left w:val="single" w:sz="4" w:color="D8D2C3"/>
              <w:bottom w:val="single" w:sz="4" w:color="D8D2C3"/>
              <w:right w:val="single" w:sz="4" w:color="D8D2C3"/>
              <w:insideH w:val="single" w:sz="4" w:color="D8D2C3"/>
              <w:insideV w:val="single" w:sz="4" w:color="D8D2C3"/>
            </w:tcBorders>
            <w:tcMar>
              <w:top w:w="60" w:type="dxa"/>
              <w:start w:w="70" w:type="dxa"/>
              <w:bottom w:w="60" w:type="dxa"/>
              <w:end w:w="70" w:type="dxa"/>
            </w:tcMar>
            <w:vAlign w:val="top"/>
          </w:tcPr>
          <w:p>
            <w:pPr>
              <w:spacing w:after="10"/>
            </w:pPr>
            <w:r>
              <w:rPr>
                <w:sz w:val="14"/>
              </w:rPr>
              <w:t>M</w:t>
            </w:r>
          </w:p>
        </w:tc>
        <w:tc>
          <w:tcPr>
            <w:tcW w:type="dxa" w:w="4320"/>
            <w:tcBorders>
              <w:top w:val="single" w:sz="4" w:color="D8D2C3"/>
              <w:left w:val="single" w:sz="4" w:color="D8D2C3"/>
              <w:bottom w:val="single" w:sz="4" w:color="D8D2C3"/>
              <w:right w:val="single" w:sz="4" w:color="D8D2C3"/>
              <w:insideH w:val="single" w:sz="4" w:color="D8D2C3"/>
              <w:insideV w:val="single" w:sz="4" w:color="D8D2C3"/>
            </w:tcBorders>
            <w:tcMar>
              <w:top w:w="60" w:type="dxa"/>
              <w:start w:w="70" w:type="dxa"/>
              <w:bottom w:w="60" w:type="dxa"/>
              <w:end w:w="70" w:type="dxa"/>
            </w:tcMar>
            <w:vAlign w:val="top"/>
          </w:tcPr>
          <w:p>
            <w:pPr>
              <w:spacing w:after="10"/>
            </w:pPr>
            <w:r>
              <w:rPr>
                <w:sz w:val="14"/>
              </w:rPr>
              <w:t>Rule-based readiness scorer and digital-twin growth/stress/pest engine; replaceable later by trained model.</w:t>
            </w:r>
          </w:p>
        </w:tc>
        <w:tc>
          <w:tcPr>
            <w:tcW w:type="dxa" w:w="5472"/>
            <w:tcBorders>
              <w:top w:val="single" w:sz="4" w:color="D8D2C3"/>
              <w:left w:val="single" w:sz="4" w:color="D8D2C3"/>
              <w:bottom w:val="single" w:sz="4" w:color="D8D2C3"/>
              <w:right w:val="single" w:sz="4" w:color="D8D2C3"/>
              <w:insideH w:val="single" w:sz="4" w:color="D8D2C3"/>
              <w:insideV w:val="single" w:sz="4" w:color="D8D2C3"/>
            </w:tcBorders>
            <w:tcMar>
              <w:top w:w="60" w:type="dxa"/>
              <w:start w:w="70" w:type="dxa"/>
              <w:bottom w:w="60" w:type="dxa"/>
              <w:end w:w="70" w:type="dxa"/>
            </w:tcMar>
            <w:vAlign w:val="top"/>
          </w:tcPr>
          <w:p>
            <w:pPr>
              <w:spacing w:after="10"/>
            </w:pPr>
            <w:r>
              <w:rPr>
                <w:sz w:val="14"/>
              </w:rPr>
              <w:t>ITU-T Y.3172 architecture; ITU AI Readiness reports; future validation benchmark references in KB.</w:t>
            </w:r>
          </w:p>
        </w:tc>
      </w:tr>
      <w:tr>
        <w:tc>
          <w:tcPr>
            <w:tcW w:type="dxa" w:w="1080"/>
            <w:tcBorders>
              <w:top w:val="single" w:sz="4" w:color="D8D2C3"/>
              <w:left w:val="single" w:sz="4" w:color="D8D2C3"/>
              <w:bottom w:val="single" w:sz="4" w:color="D8D2C3"/>
              <w:right w:val="single" w:sz="4" w:color="D8D2C3"/>
              <w:insideH w:val="single" w:sz="4" w:color="D8D2C3"/>
              <w:insideV w:val="single" w:sz="4" w:color="D8D2C3"/>
            </w:tcBorders>
            <w:tcMar>
              <w:top w:w="60" w:type="dxa"/>
              <w:start w:w="70" w:type="dxa"/>
              <w:bottom w:w="60" w:type="dxa"/>
              <w:end w:w="70" w:type="dxa"/>
            </w:tcMar>
            <w:vAlign w:val="top"/>
          </w:tcPr>
          <w:p>
            <w:pPr>
              <w:spacing w:after="10"/>
            </w:pPr>
            <w:r>
              <w:rPr>
                <w:sz w:val="14"/>
              </w:rPr>
              <w:t>P</w:t>
            </w:r>
          </w:p>
        </w:tc>
        <w:tc>
          <w:tcPr>
            <w:tcW w:type="dxa" w:w="4320"/>
            <w:tcBorders>
              <w:top w:val="single" w:sz="4" w:color="D8D2C3"/>
              <w:left w:val="single" w:sz="4" w:color="D8D2C3"/>
              <w:bottom w:val="single" w:sz="4" w:color="D8D2C3"/>
              <w:right w:val="single" w:sz="4" w:color="D8D2C3"/>
              <w:insideH w:val="single" w:sz="4" w:color="D8D2C3"/>
              <w:insideV w:val="single" w:sz="4" w:color="D8D2C3"/>
            </w:tcBorders>
            <w:tcMar>
              <w:top w:w="60" w:type="dxa"/>
              <w:start w:w="70" w:type="dxa"/>
              <w:bottom w:w="60" w:type="dxa"/>
              <w:end w:w="70" w:type="dxa"/>
            </w:tcMar>
            <w:vAlign w:val="top"/>
          </w:tcPr>
          <w:p>
            <w:pPr>
              <w:spacing w:after="10"/>
            </w:pPr>
            <w:r>
              <w:rPr>
                <w:sz w:val="14"/>
              </w:rPr>
              <w:t>Checks irrigation interval, fertiliser ceiling, pest threshold and data-handling flags; can refuse an action.</w:t>
            </w:r>
          </w:p>
        </w:tc>
        <w:tc>
          <w:tcPr>
            <w:tcW w:type="dxa" w:w="5472"/>
            <w:tcBorders>
              <w:top w:val="single" w:sz="4" w:color="D8D2C3"/>
              <w:left w:val="single" w:sz="4" w:color="D8D2C3"/>
              <w:bottom w:val="single" w:sz="4" w:color="D8D2C3"/>
              <w:right w:val="single" w:sz="4" w:color="D8D2C3"/>
              <w:insideH w:val="single" w:sz="4" w:color="D8D2C3"/>
              <w:insideV w:val="single" w:sz="4" w:color="D8D2C3"/>
            </w:tcBorders>
            <w:tcMar>
              <w:top w:w="60" w:type="dxa"/>
              <w:start w:w="70" w:type="dxa"/>
              <w:bottom w:w="60" w:type="dxa"/>
              <w:end w:w="70" w:type="dxa"/>
            </w:tcMar>
            <w:vAlign w:val="top"/>
          </w:tcPr>
          <w:p>
            <w:pPr>
              <w:spacing w:after="10"/>
            </w:pPr>
            <w:r>
              <w:rPr>
                <w:sz w:val="14"/>
              </w:rPr>
              <w:t>SDAIA AI governance; Saudi PDPL; MEWA safe/resource-efficient practice; human override/guardrails.</w:t>
            </w:r>
          </w:p>
        </w:tc>
      </w:tr>
      <w:tr>
        <w:tc>
          <w:tcPr>
            <w:tcW w:type="dxa" w:w="1080"/>
            <w:tcBorders>
              <w:top w:val="single" w:sz="4" w:color="D8D2C3"/>
              <w:left w:val="single" w:sz="4" w:color="D8D2C3"/>
              <w:bottom w:val="single" w:sz="4" w:color="D8D2C3"/>
              <w:right w:val="single" w:sz="4" w:color="D8D2C3"/>
              <w:insideH w:val="single" w:sz="4" w:color="D8D2C3"/>
              <w:insideV w:val="single" w:sz="4" w:color="D8D2C3"/>
            </w:tcBorders>
            <w:tcMar>
              <w:top w:w="60" w:type="dxa"/>
              <w:start w:w="70" w:type="dxa"/>
              <w:bottom w:w="60" w:type="dxa"/>
              <w:end w:w="70" w:type="dxa"/>
            </w:tcMar>
            <w:vAlign w:val="top"/>
          </w:tcPr>
          <w:p>
            <w:pPr>
              <w:spacing w:after="10"/>
            </w:pPr>
            <w:r>
              <w:rPr>
                <w:sz w:val="14"/>
              </w:rPr>
              <w:t>D</w:t>
            </w:r>
          </w:p>
        </w:tc>
        <w:tc>
          <w:tcPr>
            <w:tcW w:type="dxa" w:w="4320"/>
            <w:tcBorders>
              <w:top w:val="single" w:sz="4" w:color="D8D2C3"/>
              <w:left w:val="single" w:sz="4" w:color="D8D2C3"/>
              <w:bottom w:val="single" w:sz="4" w:color="D8D2C3"/>
              <w:right w:val="single" w:sz="4" w:color="D8D2C3"/>
              <w:insideH w:val="single" w:sz="4" w:color="D8D2C3"/>
              <w:insideV w:val="single" w:sz="4" w:color="D8D2C3"/>
            </w:tcBorders>
            <w:tcMar>
              <w:top w:w="60" w:type="dxa"/>
              <w:start w:w="70" w:type="dxa"/>
              <w:bottom w:w="60" w:type="dxa"/>
              <w:end w:w="70" w:type="dxa"/>
            </w:tcMar>
            <w:vAlign w:val="top"/>
          </w:tcPr>
          <w:p>
            <w:pPr>
              <w:spacing w:after="10"/>
            </w:pPr>
            <w:r>
              <w:rPr>
                <w:sz w:val="14"/>
              </w:rPr>
              <w:t>Routes approved output to dashboard, alerts, recommendation report and logs.</w:t>
            </w:r>
          </w:p>
        </w:tc>
        <w:tc>
          <w:tcPr>
            <w:tcW w:type="dxa" w:w="5472"/>
            <w:tcBorders>
              <w:top w:val="single" w:sz="4" w:color="D8D2C3"/>
              <w:left w:val="single" w:sz="4" w:color="D8D2C3"/>
              <w:bottom w:val="single" w:sz="4" w:color="D8D2C3"/>
              <w:right w:val="single" w:sz="4" w:color="D8D2C3"/>
              <w:insideH w:val="single" w:sz="4" w:color="D8D2C3"/>
              <w:insideV w:val="single" w:sz="4" w:color="D8D2C3"/>
            </w:tcBorders>
            <w:tcMar>
              <w:top w:w="60" w:type="dxa"/>
              <w:start w:w="70" w:type="dxa"/>
              <w:bottom w:w="60" w:type="dxa"/>
              <w:end w:w="70" w:type="dxa"/>
            </w:tcMar>
            <w:vAlign w:val="top"/>
          </w:tcPr>
          <w:p>
            <w:pPr>
              <w:spacing w:after="10"/>
            </w:pPr>
            <w:r>
              <w:rPr>
                <w:sz w:val="14"/>
              </w:rPr>
              <w:t>Data-minimisation/access principles; usability and inclusion; energy/connectivity-aware delivery.</w:t>
            </w:r>
          </w:p>
        </w:tc>
      </w:tr>
      <w:tr>
        <w:tc>
          <w:tcPr>
            <w:tcW w:type="dxa" w:w="1080"/>
            <w:tcBorders>
              <w:top w:val="single" w:sz="4" w:color="D8D2C3"/>
              <w:left w:val="single" w:sz="4" w:color="D8D2C3"/>
              <w:bottom w:val="single" w:sz="4" w:color="D8D2C3"/>
              <w:right w:val="single" w:sz="4" w:color="D8D2C3"/>
              <w:insideH w:val="single" w:sz="4" w:color="D8D2C3"/>
              <w:insideV w:val="single" w:sz="4" w:color="D8D2C3"/>
            </w:tcBorders>
            <w:tcMar>
              <w:top w:w="60" w:type="dxa"/>
              <w:start w:w="70" w:type="dxa"/>
              <w:bottom w:w="60" w:type="dxa"/>
              <w:end w:w="70" w:type="dxa"/>
            </w:tcMar>
            <w:vAlign w:val="top"/>
          </w:tcPr>
          <w:p>
            <w:pPr>
              <w:spacing w:after="10"/>
            </w:pPr>
            <w:r>
              <w:rPr>
                <w:sz w:val="14"/>
              </w:rPr>
              <w:t>SINK</w:t>
            </w:r>
          </w:p>
        </w:tc>
        <w:tc>
          <w:tcPr>
            <w:tcW w:type="dxa" w:w="4320"/>
            <w:tcBorders>
              <w:top w:val="single" w:sz="4" w:color="D8D2C3"/>
              <w:left w:val="single" w:sz="4" w:color="D8D2C3"/>
              <w:bottom w:val="single" w:sz="4" w:color="D8D2C3"/>
              <w:right w:val="single" w:sz="4" w:color="D8D2C3"/>
              <w:insideH w:val="single" w:sz="4" w:color="D8D2C3"/>
              <w:insideV w:val="single" w:sz="4" w:color="D8D2C3"/>
            </w:tcBorders>
            <w:tcMar>
              <w:top w:w="60" w:type="dxa"/>
              <w:start w:w="70" w:type="dxa"/>
              <w:bottom w:w="60" w:type="dxa"/>
              <w:end w:w="70" w:type="dxa"/>
            </w:tcMar>
            <w:vAlign w:val="top"/>
          </w:tcPr>
          <w:p>
            <w:pPr>
              <w:spacing w:after="10"/>
            </w:pPr>
            <w:r>
              <w:rPr>
                <w:sz w:val="14"/>
              </w:rPr>
              <w:t>Farmer-facing action/result; the farmer remains decision-maker.</w:t>
            </w:r>
          </w:p>
        </w:tc>
        <w:tc>
          <w:tcPr>
            <w:tcW w:type="dxa" w:w="5472"/>
            <w:tcBorders>
              <w:top w:val="single" w:sz="4" w:color="D8D2C3"/>
              <w:left w:val="single" w:sz="4" w:color="D8D2C3"/>
              <w:bottom w:val="single" w:sz="4" w:color="D8D2C3"/>
              <w:right w:val="single" w:sz="4" w:color="D8D2C3"/>
              <w:insideH w:val="single" w:sz="4" w:color="D8D2C3"/>
              <w:insideV w:val="single" w:sz="4" w:color="D8D2C3"/>
            </w:tcBorders>
            <w:tcMar>
              <w:top w:w="60" w:type="dxa"/>
              <w:start w:w="70" w:type="dxa"/>
              <w:bottom w:w="60" w:type="dxa"/>
              <w:end w:w="70" w:type="dxa"/>
            </w:tcMar>
            <w:vAlign w:val="top"/>
          </w:tcPr>
          <w:p>
            <w:pPr>
              <w:spacing w:after="10"/>
            </w:pPr>
            <w:r>
              <w:rPr>
                <w:sz w:val="14"/>
              </w:rPr>
              <w:t>Human-in-the-loop principle; clear disclosure that prototype outputs are decision support, not certified agronomic diagnosis.</w:t>
            </w:r>
          </w:p>
        </w:tc>
      </w:tr>
      <w:tr>
        <w:tc>
          <w:tcPr>
            <w:tcW w:type="dxa" w:w="1080"/>
            <w:tcBorders>
              <w:top w:val="single" w:sz="4" w:color="D8D2C3"/>
              <w:left w:val="single" w:sz="4" w:color="D8D2C3"/>
              <w:bottom w:val="single" w:sz="4" w:color="D8D2C3"/>
              <w:right w:val="single" w:sz="4" w:color="D8D2C3"/>
              <w:insideH w:val="single" w:sz="4" w:color="D8D2C3"/>
              <w:insideV w:val="single" w:sz="4" w:color="D8D2C3"/>
            </w:tcBorders>
            <w:tcMar>
              <w:top w:w="60" w:type="dxa"/>
              <w:start w:w="70" w:type="dxa"/>
              <w:bottom w:w="60" w:type="dxa"/>
              <w:end w:w="70" w:type="dxa"/>
            </w:tcMar>
            <w:vAlign w:val="top"/>
          </w:tcPr>
          <w:p>
            <w:pPr>
              <w:spacing w:after="10"/>
            </w:pPr>
            <w:r>
              <w:rPr>
                <w:sz w:val="14"/>
              </w:rPr>
              <w:t>MLFO / Sandbox</w:t>
            </w:r>
          </w:p>
        </w:tc>
        <w:tc>
          <w:tcPr>
            <w:tcW w:type="dxa" w:w="4320"/>
            <w:tcBorders>
              <w:top w:val="single" w:sz="4" w:color="D8D2C3"/>
              <w:left w:val="single" w:sz="4" w:color="D8D2C3"/>
              <w:bottom w:val="single" w:sz="4" w:color="D8D2C3"/>
              <w:right w:val="single" w:sz="4" w:color="D8D2C3"/>
              <w:insideH w:val="single" w:sz="4" w:color="D8D2C3"/>
              <w:insideV w:val="single" w:sz="4" w:color="D8D2C3"/>
            </w:tcBorders>
            <w:tcMar>
              <w:top w:w="60" w:type="dxa"/>
              <w:start w:w="70" w:type="dxa"/>
              <w:bottom w:w="60" w:type="dxa"/>
              <w:end w:w="70" w:type="dxa"/>
            </w:tcMar>
            <w:vAlign w:val="top"/>
          </w:tcPr>
          <w:p>
            <w:pPr>
              <w:spacing w:after="10"/>
            </w:pPr>
            <w:r>
              <w:rPr>
                <w:sz w:val="14"/>
              </w:rPr>
              <w:t>Sequences PP→M→P→D and rehearses decisions before real-field use.</w:t>
            </w:r>
          </w:p>
        </w:tc>
        <w:tc>
          <w:tcPr>
            <w:tcW w:type="dxa" w:w="5472"/>
            <w:tcBorders>
              <w:top w:val="single" w:sz="4" w:color="D8D2C3"/>
              <w:left w:val="single" w:sz="4" w:color="D8D2C3"/>
              <w:bottom w:val="single" w:sz="4" w:color="D8D2C3"/>
              <w:right w:val="single" w:sz="4" w:color="D8D2C3"/>
              <w:insideH w:val="single" w:sz="4" w:color="D8D2C3"/>
              <w:insideV w:val="single" w:sz="4" w:color="D8D2C3"/>
            </w:tcBorders>
            <w:tcMar>
              <w:top w:w="60" w:type="dxa"/>
              <w:start w:w="70" w:type="dxa"/>
              <w:bottom w:w="60" w:type="dxa"/>
              <w:end w:w="70" w:type="dxa"/>
            </w:tcMar>
            <w:vAlign w:val="top"/>
          </w:tcPr>
          <w:p>
            <w:pPr>
              <w:spacing w:after="10"/>
            </w:pPr>
            <w:r>
              <w:rPr>
                <w:sz w:val="14"/>
              </w:rPr>
              <w:t>ITU-T Y.3172 pipeline and sandbox concepts; controlled testing before deployment; traceable run history.</w:t>
            </w:r>
          </w:p>
        </w:tc>
      </w:tr>
    </w:tbl>
    <w:p>
      <w:pPr>
        <w:pStyle w:val="Heading2"/>
      </w:pPr>
      <w:r>
        <w:t>Priority reference set</w:t>
      </w:r>
    </w:p>
    <w:p>
      <w:r>
        <w:t>ITU-T Y.3172 (ML pipeline); ITU AI Readiness report v2.0 and AI-RE Toolkit; Saudi National Strategy for Data and AI (SDAIA); SDAIA Regulations and Policies / AI governance; Saudi Personal Data Protection Law; Ministry of Environment, Water and Agriculture; Saudi Vision 2030; GASTAT agricultural statistics; FAO and AQUASTAT; ICBA and ICARDA; UNESCO Khawlani coffee heritage sources. Full clickable references are supplied in the separate Knowledge Base PDF/DOCX.</w:t>
      </w:r>
    </w:p>
    <w:p>
      <w:r>
        <w:br w:type="page"/>
      </w:r>
    </w:p>
    <w:p>
      <w:pPr>
        <w:pStyle w:val="Heading1"/>
      </w:pPr>
      <w:r>
        <w:t>4. Evaluation Scenarios</w:t>
      </w:r>
    </w:p>
    <w:p>
      <w:r>
        <w:t>The scenarios test not only successful operation but also controversy and failure. Each response is tied to pre-agreed rules so corrective action is not improvised after harm occurs.</w:t>
      </w:r>
    </w:p>
    <w:tbl>
      <w:tblPr>
        <w:tblW w:type="auto" w:w="0"/>
        <w:jc w:val="center"/>
        <w:tblLayout w:type="fixed"/>
        <w:tblLook w:firstColumn="1" w:firstRow="1" w:lastColumn="0" w:lastRow="0" w:noHBand="0" w:noVBand="1" w:val="04A0"/>
      </w:tblPr>
      <w:tblGrid>
        <w:gridCol w:w="2714"/>
        <w:gridCol w:w="2714"/>
        <w:gridCol w:w="2714"/>
        <w:gridCol w:w="2714"/>
      </w:tblGrid>
      <w:tr>
        <w:trPr>
          <w:tblHeader w:val="true"/>
        </w:trPr>
        <w:tc>
          <w:tcPr>
            <w:tcW w:type="dxa" w:w="1584"/>
            <w:shd w:fill="173F2E"/>
            <w:tcBorders>
              <w:top w:val="single" w:sz="4" w:color="D8D2C3"/>
              <w:left w:val="single" w:sz="4" w:color="D8D2C3"/>
              <w:bottom w:val="single" w:sz="4" w:color="D8D2C3"/>
              <w:right w:val="single" w:sz="4" w:color="D8D2C3"/>
              <w:insideH w:val="single" w:sz="4" w:color="D8D2C3"/>
              <w:insideV w:val="single" w:sz="4" w:color="D8D2C3"/>
            </w:tcBorders>
            <w:tcMar>
              <w:top w:w="60" w:type="dxa"/>
              <w:start w:w="70" w:type="dxa"/>
              <w:bottom w:w="60" w:type="dxa"/>
              <w:end w:w="70" w:type="dxa"/>
            </w:tcMar>
            <w:vAlign w:val="center"/>
          </w:tcPr>
          <w:p>
            <w:r>
              <w:rPr>
                <w:b/>
                <w:color w:val="FFFFFF"/>
                <w:sz w:val="13"/>
              </w:rPr>
              <w:t>Scenario</w:t>
            </w:r>
          </w:p>
        </w:tc>
        <w:tc>
          <w:tcPr>
            <w:tcW w:type="dxa" w:w="2304"/>
            <w:shd w:fill="173F2E"/>
            <w:tcBorders>
              <w:top w:val="single" w:sz="4" w:color="D8D2C3"/>
              <w:left w:val="single" w:sz="4" w:color="D8D2C3"/>
              <w:bottom w:val="single" w:sz="4" w:color="D8D2C3"/>
              <w:right w:val="single" w:sz="4" w:color="D8D2C3"/>
              <w:insideH w:val="single" w:sz="4" w:color="D8D2C3"/>
              <w:insideV w:val="single" w:sz="4" w:color="D8D2C3"/>
            </w:tcBorders>
            <w:tcMar>
              <w:top w:w="60" w:type="dxa"/>
              <w:start w:w="70" w:type="dxa"/>
              <w:bottom w:w="60" w:type="dxa"/>
              <w:end w:w="70" w:type="dxa"/>
            </w:tcMar>
            <w:vAlign w:val="center"/>
          </w:tcPr>
          <w:p>
            <w:r>
              <w:rPr>
                <w:b/>
                <w:color w:val="FFFFFF"/>
                <w:sz w:val="13"/>
              </w:rPr>
              <w:t>Risk</w:t>
            </w:r>
          </w:p>
        </w:tc>
        <w:tc>
          <w:tcPr>
            <w:tcW w:type="dxa" w:w="4536"/>
            <w:shd w:fill="173F2E"/>
            <w:tcBorders>
              <w:top w:val="single" w:sz="4" w:color="D8D2C3"/>
              <w:left w:val="single" w:sz="4" w:color="D8D2C3"/>
              <w:bottom w:val="single" w:sz="4" w:color="D8D2C3"/>
              <w:right w:val="single" w:sz="4" w:color="D8D2C3"/>
              <w:insideH w:val="single" w:sz="4" w:color="D8D2C3"/>
              <w:insideV w:val="single" w:sz="4" w:color="D8D2C3"/>
            </w:tcBorders>
            <w:tcMar>
              <w:top w:w="60" w:type="dxa"/>
              <w:start w:w="70" w:type="dxa"/>
              <w:bottom w:w="60" w:type="dxa"/>
              <w:end w:w="70" w:type="dxa"/>
            </w:tcMar>
            <w:vAlign w:val="center"/>
          </w:tcPr>
          <w:p>
            <w:r>
              <w:rPr>
                <w:b/>
                <w:color w:val="FFFFFF"/>
                <w:sz w:val="13"/>
              </w:rPr>
              <w:t>System response</w:t>
            </w:r>
          </w:p>
        </w:tc>
        <w:tc>
          <w:tcPr>
            <w:tcW w:type="dxa" w:w="2376"/>
            <w:shd w:fill="173F2E"/>
            <w:tcBorders>
              <w:top w:val="single" w:sz="4" w:color="D8D2C3"/>
              <w:left w:val="single" w:sz="4" w:color="D8D2C3"/>
              <w:bottom w:val="single" w:sz="4" w:color="D8D2C3"/>
              <w:right w:val="single" w:sz="4" w:color="D8D2C3"/>
              <w:insideH w:val="single" w:sz="4" w:color="D8D2C3"/>
              <w:insideV w:val="single" w:sz="4" w:color="D8D2C3"/>
            </w:tcBorders>
            <w:tcMar>
              <w:top w:w="60" w:type="dxa"/>
              <w:start w:w="70" w:type="dxa"/>
              <w:bottom w:w="60" w:type="dxa"/>
              <w:end w:w="70" w:type="dxa"/>
            </w:tcMar>
            <w:vAlign w:val="center"/>
          </w:tcPr>
          <w:p>
            <w:r>
              <w:rPr>
                <w:b/>
                <w:color w:val="FFFFFF"/>
                <w:sz w:val="13"/>
              </w:rPr>
              <w:t>Policy/KB basis</w:t>
            </w:r>
          </w:p>
        </w:tc>
      </w:tr>
      <w:tr>
        <w:tc>
          <w:tcPr>
            <w:tcW w:type="dxa" w:w="1584"/>
            <w:tcBorders>
              <w:top w:val="single" w:sz="4" w:color="D8D2C3"/>
              <w:left w:val="single" w:sz="4" w:color="D8D2C3"/>
              <w:bottom w:val="single" w:sz="4" w:color="D8D2C3"/>
              <w:right w:val="single" w:sz="4" w:color="D8D2C3"/>
              <w:insideH w:val="single" w:sz="4" w:color="D8D2C3"/>
              <w:insideV w:val="single" w:sz="4" w:color="D8D2C3"/>
            </w:tcBorders>
            <w:tcMar>
              <w:top w:w="60" w:type="dxa"/>
              <w:start w:w="70" w:type="dxa"/>
              <w:bottom w:w="60" w:type="dxa"/>
              <w:end w:w="70" w:type="dxa"/>
            </w:tcMar>
            <w:vAlign w:val="top"/>
          </w:tcPr>
          <w:p>
            <w:pPr>
              <w:spacing w:after="10"/>
            </w:pPr>
            <w:r>
              <w:rPr>
                <w:sz w:val="13"/>
              </w:rPr>
              <w:t>1. Over-irrigation request</w:t>
            </w:r>
          </w:p>
        </w:tc>
        <w:tc>
          <w:tcPr>
            <w:tcW w:type="dxa" w:w="2304"/>
            <w:tcBorders>
              <w:top w:val="single" w:sz="4" w:color="D8D2C3"/>
              <w:left w:val="single" w:sz="4" w:color="D8D2C3"/>
              <w:bottom w:val="single" w:sz="4" w:color="D8D2C3"/>
              <w:right w:val="single" w:sz="4" w:color="D8D2C3"/>
              <w:insideH w:val="single" w:sz="4" w:color="D8D2C3"/>
              <w:insideV w:val="single" w:sz="4" w:color="D8D2C3"/>
            </w:tcBorders>
            <w:tcMar>
              <w:top w:w="60" w:type="dxa"/>
              <w:start w:w="70" w:type="dxa"/>
              <w:bottom w:w="60" w:type="dxa"/>
              <w:end w:w="70" w:type="dxa"/>
            </w:tcMar>
            <w:vAlign w:val="top"/>
          </w:tcPr>
          <w:p>
            <w:pPr>
              <w:spacing w:after="10"/>
            </w:pPr>
            <w:r>
              <w:rPr>
                <w:sz w:val="13"/>
              </w:rPr>
              <w:t>A farmer irrigates again while soil is already saturated or before the minimum safe interval.</w:t>
            </w:r>
          </w:p>
        </w:tc>
        <w:tc>
          <w:tcPr>
            <w:tcW w:type="dxa" w:w="4536"/>
            <w:tcBorders>
              <w:top w:val="single" w:sz="4" w:color="D8D2C3"/>
              <w:left w:val="single" w:sz="4" w:color="D8D2C3"/>
              <w:bottom w:val="single" w:sz="4" w:color="D8D2C3"/>
              <w:right w:val="single" w:sz="4" w:color="D8D2C3"/>
              <w:insideH w:val="single" w:sz="4" w:color="D8D2C3"/>
              <w:insideV w:val="single" w:sz="4" w:color="D8D2C3"/>
            </w:tcBorders>
            <w:tcMar>
              <w:top w:w="60" w:type="dxa"/>
              <w:start w:w="70" w:type="dxa"/>
              <w:bottom w:w="60" w:type="dxa"/>
              <w:end w:w="70" w:type="dxa"/>
            </w:tcMar>
            <w:vAlign w:val="top"/>
          </w:tcPr>
          <w:p>
            <w:pPr>
              <w:spacing w:after="10"/>
            </w:pPr>
            <w:r>
              <w:rPr>
                <w:sz w:val="13"/>
              </w:rPr>
              <w:t>P node refuses the request, turns visibly to blocked status, states the reason, records the event and leaves plant state unchanged. Human can inspect and choose a different action.</w:t>
            </w:r>
          </w:p>
        </w:tc>
        <w:tc>
          <w:tcPr>
            <w:tcW w:type="dxa" w:w="2376"/>
            <w:tcBorders>
              <w:top w:val="single" w:sz="4" w:color="D8D2C3"/>
              <w:left w:val="single" w:sz="4" w:color="D8D2C3"/>
              <w:bottom w:val="single" w:sz="4" w:color="D8D2C3"/>
              <w:right w:val="single" w:sz="4" w:color="D8D2C3"/>
              <w:insideH w:val="single" w:sz="4" w:color="D8D2C3"/>
              <w:insideV w:val="single" w:sz="4" w:color="D8D2C3"/>
            </w:tcBorders>
            <w:tcMar>
              <w:top w:w="60" w:type="dxa"/>
              <w:start w:w="70" w:type="dxa"/>
              <w:bottom w:w="60" w:type="dxa"/>
              <w:end w:w="70" w:type="dxa"/>
            </w:tcMar>
            <w:vAlign w:val="top"/>
          </w:tcPr>
          <w:p>
            <w:pPr>
              <w:spacing w:after="10"/>
            </w:pPr>
            <w:r>
              <w:rPr>
                <w:sz w:val="13"/>
              </w:rPr>
              <w:t>Water-efficiency / safe-practice rules; Y.3172 Policy node; MEWA-aligned resource stewardship.</w:t>
            </w:r>
          </w:p>
        </w:tc>
      </w:tr>
      <w:tr>
        <w:tc>
          <w:tcPr>
            <w:tcW w:type="dxa" w:w="1584"/>
            <w:tcBorders>
              <w:top w:val="single" w:sz="4" w:color="D8D2C3"/>
              <w:left w:val="single" w:sz="4" w:color="D8D2C3"/>
              <w:bottom w:val="single" w:sz="4" w:color="D8D2C3"/>
              <w:right w:val="single" w:sz="4" w:color="D8D2C3"/>
              <w:insideH w:val="single" w:sz="4" w:color="D8D2C3"/>
              <w:insideV w:val="single" w:sz="4" w:color="D8D2C3"/>
            </w:tcBorders>
            <w:tcMar>
              <w:top w:w="60" w:type="dxa"/>
              <w:start w:w="70" w:type="dxa"/>
              <w:bottom w:w="60" w:type="dxa"/>
              <w:end w:w="70" w:type="dxa"/>
            </w:tcMar>
            <w:vAlign w:val="top"/>
          </w:tcPr>
          <w:p>
            <w:pPr>
              <w:spacing w:after="10"/>
            </w:pPr>
            <w:r>
              <w:rPr>
                <w:sz w:val="13"/>
              </w:rPr>
              <w:t>2. Excess fertiliser</w:t>
            </w:r>
          </w:p>
        </w:tc>
        <w:tc>
          <w:tcPr>
            <w:tcW w:type="dxa" w:w="2304"/>
            <w:tcBorders>
              <w:top w:val="single" w:sz="4" w:color="D8D2C3"/>
              <w:left w:val="single" w:sz="4" w:color="D8D2C3"/>
              <w:bottom w:val="single" w:sz="4" w:color="D8D2C3"/>
              <w:right w:val="single" w:sz="4" w:color="D8D2C3"/>
              <w:insideH w:val="single" w:sz="4" w:color="D8D2C3"/>
              <w:insideV w:val="single" w:sz="4" w:color="D8D2C3"/>
            </w:tcBorders>
            <w:tcMar>
              <w:top w:w="60" w:type="dxa"/>
              <w:start w:w="70" w:type="dxa"/>
              <w:bottom w:w="60" w:type="dxa"/>
              <w:end w:w="70" w:type="dxa"/>
            </w:tcMar>
            <w:vAlign w:val="top"/>
          </w:tcPr>
          <w:p>
            <w:pPr>
              <w:spacing w:after="10"/>
            </w:pPr>
            <w:r>
              <w:rPr>
                <w:sz w:val="13"/>
              </w:rPr>
              <w:t>The farmer requests another dose after the configured seasonal ceiling.</w:t>
            </w:r>
          </w:p>
        </w:tc>
        <w:tc>
          <w:tcPr>
            <w:tcW w:type="dxa" w:w="4536"/>
            <w:tcBorders>
              <w:top w:val="single" w:sz="4" w:color="D8D2C3"/>
              <w:left w:val="single" w:sz="4" w:color="D8D2C3"/>
              <w:bottom w:val="single" w:sz="4" w:color="D8D2C3"/>
              <w:right w:val="single" w:sz="4" w:color="D8D2C3"/>
              <w:insideH w:val="single" w:sz="4" w:color="D8D2C3"/>
              <w:insideV w:val="single" w:sz="4" w:color="D8D2C3"/>
            </w:tcBorders>
            <w:tcMar>
              <w:top w:w="60" w:type="dxa"/>
              <w:start w:w="70" w:type="dxa"/>
              <w:bottom w:w="60" w:type="dxa"/>
              <w:end w:w="70" w:type="dxa"/>
            </w:tcMar>
            <w:vAlign w:val="top"/>
          </w:tcPr>
          <w:p>
            <w:pPr>
              <w:spacing w:after="10"/>
            </w:pPr>
            <w:r>
              <w:rPr>
                <w:sz w:val="13"/>
              </w:rPr>
              <w:t>Policy node blocks the dose and explains runoff/root-stress risk. The simulator demonstrates the avoided consequence without consuming input.</w:t>
            </w:r>
          </w:p>
        </w:tc>
        <w:tc>
          <w:tcPr>
            <w:tcW w:type="dxa" w:w="2376"/>
            <w:tcBorders>
              <w:top w:val="single" w:sz="4" w:color="D8D2C3"/>
              <w:left w:val="single" w:sz="4" w:color="D8D2C3"/>
              <w:bottom w:val="single" w:sz="4" w:color="D8D2C3"/>
              <w:right w:val="single" w:sz="4" w:color="D8D2C3"/>
              <w:insideH w:val="single" w:sz="4" w:color="D8D2C3"/>
              <w:insideV w:val="single" w:sz="4" w:color="D8D2C3"/>
            </w:tcBorders>
            <w:tcMar>
              <w:top w:w="60" w:type="dxa"/>
              <w:start w:w="70" w:type="dxa"/>
              <w:bottom w:w="60" w:type="dxa"/>
              <w:end w:w="70" w:type="dxa"/>
            </w:tcMar>
            <w:vAlign w:val="top"/>
          </w:tcPr>
          <w:p>
            <w:pPr>
              <w:spacing w:after="10"/>
            </w:pPr>
            <w:r>
              <w:rPr>
                <w:sz w:val="13"/>
              </w:rPr>
              <w:t>Safety guardrail; environmental protection; transparent override conditions.</w:t>
            </w:r>
          </w:p>
        </w:tc>
      </w:tr>
      <w:tr>
        <w:tc>
          <w:tcPr>
            <w:tcW w:type="dxa" w:w="1584"/>
            <w:tcBorders>
              <w:top w:val="single" w:sz="4" w:color="D8D2C3"/>
              <w:left w:val="single" w:sz="4" w:color="D8D2C3"/>
              <w:bottom w:val="single" w:sz="4" w:color="D8D2C3"/>
              <w:right w:val="single" w:sz="4" w:color="D8D2C3"/>
              <w:insideH w:val="single" w:sz="4" w:color="D8D2C3"/>
              <w:insideV w:val="single" w:sz="4" w:color="D8D2C3"/>
            </w:tcBorders>
            <w:tcMar>
              <w:top w:w="60" w:type="dxa"/>
              <w:start w:w="70" w:type="dxa"/>
              <w:bottom w:w="60" w:type="dxa"/>
              <w:end w:w="70" w:type="dxa"/>
            </w:tcMar>
            <w:vAlign w:val="top"/>
          </w:tcPr>
          <w:p>
            <w:pPr>
              <w:spacing w:after="10"/>
            </w:pPr>
            <w:r>
              <w:rPr>
                <w:sz w:val="13"/>
              </w:rPr>
              <w:t>3. Wrong or uncertain AI diagnosis</w:t>
            </w:r>
          </w:p>
        </w:tc>
        <w:tc>
          <w:tcPr>
            <w:tcW w:type="dxa" w:w="2304"/>
            <w:tcBorders>
              <w:top w:val="single" w:sz="4" w:color="D8D2C3"/>
              <w:left w:val="single" w:sz="4" w:color="D8D2C3"/>
              <w:bottom w:val="single" w:sz="4" w:color="D8D2C3"/>
              <w:right w:val="single" w:sz="4" w:color="D8D2C3"/>
              <w:insideH w:val="single" w:sz="4" w:color="D8D2C3"/>
              <w:insideV w:val="single" w:sz="4" w:color="D8D2C3"/>
            </w:tcBorders>
            <w:tcMar>
              <w:top w:w="60" w:type="dxa"/>
              <w:start w:w="70" w:type="dxa"/>
              <w:bottom w:w="60" w:type="dxa"/>
              <w:end w:w="70" w:type="dxa"/>
            </w:tcMar>
            <w:vAlign w:val="top"/>
          </w:tcPr>
          <w:p>
            <w:pPr>
              <w:spacing w:after="10"/>
            </w:pPr>
            <w:r>
              <w:rPr>
                <w:sz w:val="13"/>
              </w:rPr>
              <w:t>Gemini or the offline image analysis returns a low-confidence or incorrect plant-health assessment.</w:t>
            </w:r>
          </w:p>
        </w:tc>
        <w:tc>
          <w:tcPr>
            <w:tcW w:type="dxa" w:w="4536"/>
            <w:tcBorders>
              <w:top w:val="single" w:sz="4" w:color="D8D2C3"/>
              <w:left w:val="single" w:sz="4" w:color="D8D2C3"/>
              <w:bottom w:val="single" w:sz="4" w:color="D8D2C3"/>
              <w:right w:val="single" w:sz="4" w:color="D8D2C3"/>
              <w:insideH w:val="single" w:sz="4" w:color="D8D2C3"/>
              <w:insideV w:val="single" w:sz="4" w:color="D8D2C3"/>
            </w:tcBorders>
            <w:tcMar>
              <w:top w:w="60" w:type="dxa"/>
              <w:start w:w="70" w:type="dxa"/>
              <w:bottom w:w="60" w:type="dxa"/>
              <w:end w:w="70" w:type="dxa"/>
            </w:tcMar>
            <w:vAlign w:val="top"/>
          </w:tcPr>
          <w:p>
            <w:pPr>
              <w:spacing w:after="10"/>
            </w:pPr>
            <w:r>
              <w:rPr>
                <w:sz w:val="13"/>
              </w:rPr>
              <w:t>Output is presented as decision support, not certified diagnosis; confidence/mode is surfaced; user is directed to inspect, consult the community or seek expert confirmation before treatment. Production deployment requires expert-labelled validation.</w:t>
            </w:r>
          </w:p>
        </w:tc>
        <w:tc>
          <w:tcPr>
            <w:tcW w:type="dxa" w:w="2376"/>
            <w:tcBorders>
              <w:top w:val="single" w:sz="4" w:color="D8D2C3"/>
              <w:left w:val="single" w:sz="4" w:color="D8D2C3"/>
              <w:bottom w:val="single" w:sz="4" w:color="D8D2C3"/>
              <w:right w:val="single" w:sz="4" w:color="D8D2C3"/>
              <w:insideH w:val="single" w:sz="4" w:color="D8D2C3"/>
              <w:insideV w:val="single" w:sz="4" w:color="D8D2C3"/>
            </w:tcBorders>
            <w:tcMar>
              <w:top w:w="60" w:type="dxa"/>
              <w:start w:w="70" w:type="dxa"/>
              <w:bottom w:w="60" w:type="dxa"/>
              <w:end w:w="70" w:type="dxa"/>
            </w:tcMar>
            <w:vAlign w:val="top"/>
          </w:tcPr>
          <w:p>
            <w:pPr>
              <w:spacing w:after="10"/>
            </w:pPr>
            <w:r>
              <w:rPr>
                <w:sz w:val="13"/>
              </w:rPr>
              <w:t>Human-in-the-loop; model validation; risk disclosure; agricultural extension escalation.</w:t>
            </w:r>
          </w:p>
        </w:tc>
      </w:tr>
      <w:tr>
        <w:tc>
          <w:tcPr>
            <w:tcW w:type="dxa" w:w="1584"/>
            <w:tcBorders>
              <w:top w:val="single" w:sz="4" w:color="D8D2C3"/>
              <w:left w:val="single" w:sz="4" w:color="D8D2C3"/>
              <w:bottom w:val="single" w:sz="4" w:color="D8D2C3"/>
              <w:right w:val="single" w:sz="4" w:color="D8D2C3"/>
              <w:insideH w:val="single" w:sz="4" w:color="D8D2C3"/>
              <w:insideV w:val="single" w:sz="4" w:color="D8D2C3"/>
            </w:tcBorders>
            <w:tcMar>
              <w:top w:w="60" w:type="dxa"/>
              <w:start w:w="70" w:type="dxa"/>
              <w:bottom w:w="60" w:type="dxa"/>
              <w:end w:w="70" w:type="dxa"/>
            </w:tcMar>
            <w:vAlign w:val="top"/>
          </w:tcPr>
          <w:p>
            <w:pPr>
              <w:spacing w:after="10"/>
            </w:pPr>
            <w:r>
              <w:rPr>
                <w:sz w:val="13"/>
              </w:rPr>
              <w:t>4. Connectivity/API outage</w:t>
            </w:r>
          </w:p>
        </w:tc>
        <w:tc>
          <w:tcPr>
            <w:tcW w:type="dxa" w:w="2304"/>
            <w:tcBorders>
              <w:top w:val="single" w:sz="4" w:color="D8D2C3"/>
              <w:left w:val="single" w:sz="4" w:color="D8D2C3"/>
              <w:bottom w:val="single" w:sz="4" w:color="D8D2C3"/>
              <w:right w:val="single" w:sz="4" w:color="D8D2C3"/>
              <w:insideH w:val="single" w:sz="4" w:color="D8D2C3"/>
              <w:insideV w:val="single" w:sz="4" w:color="D8D2C3"/>
            </w:tcBorders>
            <w:tcMar>
              <w:top w:w="60" w:type="dxa"/>
              <w:start w:w="70" w:type="dxa"/>
              <w:bottom w:w="60" w:type="dxa"/>
              <w:end w:w="70" w:type="dxa"/>
            </w:tcMar>
            <w:vAlign w:val="top"/>
          </w:tcPr>
          <w:p>
            <w:pPr>
              <w:spacing w:after="10"/>
            </w:pPr>
            <w:r>
              <w:rPr>
                <w:sz w:val="13"/>
              </w:rPr>
              <w:t>The farm loses internet during diagnosis, weather retrieval or assistant use.</w:t>
            </w:r>
          </w:p>
        </w:tc>
        <w:tc>
          <w:tcPr>
            <w:tcW w:type="dxa" w:w="4536"/>
            <w:tcBorders>
              <w:top w:val="single" w:sz="4" w:color="D8D2C3"/>
              <w:left w:val="single" w:sz="4" w:color="D8D2C3"/>
              <w:bottom w:val="single" w:sz="4" w:color="D8D2C3"/>
              <w:right w:val="single" w:sz="4" w:color="D8D2C3"/>
              <w:insideH w:val="single" w:sz="4" w:color="D8D2C3"/>
              <w:insideV w:val="single" w:sz="4" w:color="D8D2C3"/>
            </w:tcBorders>
            <w:tcMar>
              <w:top w:w="60" w:type="dxa"/>
              <w:start w:w="70" w:type="dxa"/>
              <w:bottom w:w="60" w:type="dxa"/>
              <w:end w:w="70" w:type="dxa"/>
            </w:tcMar>
            <w:vAlign w:val="top"/>
          </w:tcPr>
          <w:p>
            <w:pPr>
              <w:spacing w:after="10"/>
            </w:pPr>
            <w:r>
              <w:rPr>
                <w:sz w:val="13"/>
              </w:rPr>
              <w:t>Core app continues locally. Camera analysis falls back to on-device colour analysis; weather uses documented offline climate logic; the interface states which mode is active.</w:t>
            </w:r>
          </w:p>
        </w:tc>
        <w:tc>
          <w:tcPr>
            <w:tcW w:type="dxa" w:w="2376"/>
            <w:tcBorders>
              <w:top w:val="single" w:sz="4" w:color="D8D2C3"/>
              <w:left w:val="single" w:sz="4" w:color="D8D2C3"/>
              <w:bottom w:val="single" w:sz="4" w:color="D8D2C3"/>
              <w:right w:val="single" w:sz="4" w:color="D8D2C3"/>
              <w:insideH w:val="single" w:sz="4" w:color="D8D2C3"/>
              <w:insideV w:val="single" w:sz="4" w:color="D8D2C3"/>
            </w:tcBorders>
            <w:tcMar>
              <w:top w:w="60" w:type="dxa"/>
              <w:start w:w="70" w:type="dxa"/>
              <w:bottom w:w="60" w:type="dxa"/>
              <w:end w:w="70" w:type="dxa"/>
            </w:tcMar>
            <w:vAlign w:val="top"/>
          </w:tcPr>
          <w:p>
            <w:pPr>
              <w:spacing w:after="10"/>
            </w:pPr>
            <w:r>
              <w:rPr>
                <w:sz w:val="13"/>
              </w:rPr>
              <w:t>Resilience, availability and inclusion; no silent degradation.</w:t>
            </w:r>
          </w:p>
        </w:tc>
      </w:tr>
      <w:tr>
        <w:tc>
          <w:tcPr>
            <w:tcW w:type="dxa" w:w="1584"/>
            <w:tcBorders>
              <w:top w:val="single" w:sz="4" w:color="D8D2C3"/>
              <w:left w:val="single" w:sz="4" w:color="D8D2C3"/>
              <w:bottom w:val="single" w:sz="4" w:color="D8D2C3"/>
              <w:right w:val="single" w:sz="4" w:color="D8D2C3"/>
              <w:insideH w:val="single" w:sz="4" w:color="D8D2C3"/>
              <w:insideV w:val="single" w:sz="4" w:color="D8D2C3"/>
            </w:tcBorders>
            <w:tcMar>
              <w:top w:w="60" w:type="dxa"/>
              <w:start w:w="70" w:type="dxa"/>
              <w:bottom w:w="60" w:type="dxa"/>
              <w:end w:w="70" w:type="dxa"/>
            </w:tcMar>
            <w:vAlign w:val="top"/>
          </w:tcPr>
          <w:p>
            <w:pPr>
              <w:spacing w:after="10"/>
            </w:pPr>
            <w:r>
              <w:rPr>
                <w:sz w:val="13"/>
              </w:rPr>
              <w:t>5. Data misuse / targeted advertising controversy</w:t>
            </w:r>
          </w:p>
        </w:tc>
        <w:tc>
          <w:tcPr>
            <w:tcW w:type="dxa" w:w="2304"/>
            <w:tcBorders>
              <w:top w:val="single" w:sz="4" w:color="D8D2C3"/>
              <w:left w:val="single" w:sz="4" w:color="D8D2C3"/>
              <w:bottom w:val="single" w:sz="4" w:color="D8D2C3"/>
              <w:right w:val="single" w:sz="4" w:color="D8D2C3"/>
              <w:insideH w:val="single" w:sz="4" w:color="D8D2C3"/>
              <w:insideV w:val="single" w:sz="4" w:color="D8D2C3"/>
            </w:tcBorders>
            <w:tcMar>
              <w:top w:w="60" w:type="dxa"/>
              <w:start w:w="70" w:type="dxa"/>
              <w:bottom w:w="60" w:type="dxa"/>
              <w:end w:w="70" w:type="dxa"/>
            </w:tcMar>
            <w:vAlign w:val="top"/>
          </w:tcPr>
          <w:p>
            <w:pPr>
              <w:spacing w:after="10"/>
            </w:pPr>
            <w:r>
              <w:rPr>
                <w:sz w:val="13"/>
              </w:rPr>
              <w:t>A future commercial version attempts to use farm records, diagnosis results or inferred vulnerabilities for unrelated advertising or resale.</w:t>
            </w:r>
          </w:p>
        </w:tc>
        <w:tc>
          <w:tcPr>
            <w:tcW w:type="dxa" w:w="4536"/>
            <w:tcBorders>
              <w:top w:val="single" w:sz="4" w:color="D8D2C3"/>
              <w:left w:val="single" w:sz="4" w:color="D8D2C3"/>
              <w:bottom w:val="single" w:sz="4" w:color="D8D2C3"/>
              <w:right w:val="single" w:sz="4" w:color="D8D2C3"/>
              <w:insideH w:val="single" w:sz="4" w:color="D8D2C3"/>
              <w:insideV w:val="single" w:sz="4" w:color="D8D2C3"/>
            </w:tcBorders>
            <w:tcMar>
              <w:top w:w="60" w:type="dxa"/>
              <w:start w:w="70" w:type="dxa"/>
              <w:bottom w:w="60" w:type="dxa"/>
              <w:end w:w="70" w:type="dxa"/>
            </w:tcMar>
            <w:vAlign w:val="top"/>
          </w:tcPr>
          <w:p>
            <w:pPr>
              <w:spacing w:after="10"/>
            </w:pPr>
            <w:r>
              <w:rPr>
                <w:sz w:val="13"/>
              </w:rPr>
              <w:t>Purpose-limitation and consent rules trigger. Data use is blocked unless separately lawful and consented; access is logged; offending processing is disabled and referred for governance review. Prototype keeps data local and collects no advertising profile.</w:t>
            </w:r>
          </w:p>
        </w:tc>
        <w:tc>
          <w:tcPr>
            <w:tcW w:type="dxa" w:w="2376"/>
            <w:tcBorders>
              <w:top w:val="single" w:sz="4" w:color="D8D2C3"/>
              <w:left w:val="single" w:sz="4" w:color="D8D2C3"/>
              <w:bottom w:val="single" w:sz="4" w:color="D8D2C3"/>
              <w:right w:val="single" w:sz="4" w:color="D8D2C3"/>
              <w:insideH w:val="single" w:sz="4" w:color="D8D2C3"/>
              <w:insideV w:val="single" w:sz="4" w:color="D8D2C3"/>
            </w:tcBorders>
            <w:tcMar>
              <w:top w:w="60" w:type="dxa"/>
              <w:start w:w="70" w:type="dxa"/>
              <w:bottom w:w="60" w:type="dxa"/>
              <w:end w:w="70" w:type="dxa"/>
            </w:tcMar>
            <w:vAlign w:val="top"/>
          </w:tcPr>
          <w:p>
            <w:pPr>
              <w:spacing w:after="10"/>
            </w:pPr>
            <w:r>
              <w:rPr>
                <w:sz w:val="13"/>
              </w:rPr>
              <w:t>Saudi PDPL; SDAIA governance; purpose limitation, consent, minimisation and accountability.</w:t>
            </w:r>
          </w:p>
        </w:tc>
      </w:tr>
      <w:tr>
        <w:tc>
          <w:tcPr>
            <w:tcW w:type="dxa" w:w="1584"/>
            <w:tcBorders>
              <w:top w:val="single" w:sz="4" w:color="D8D2C3"/>
              <w:left w:val="single" w:sz="4" w:color="D8D2C3"/>
              <w:bottom w:val="single" w:sz="4" w:color="D8D2C3"/>
              <w:right w:val="single" w:sz="4" w:color="D8D2C3"/>
              <w:insideH w:val="single" w:sz="4" w:color="D8D2C3"/>
              <w:insideV w:val="single" w:sz="4" w:color="D8D2C3"/>
            </w:tcBorders>
            <w:tcMar>
              <w:top w:w="60" w:type="dxa"/>
              <w:start w:w="70" w:type="dxa"/>
              <w:bottom w:w="60" w:type="dxa"/>
              <w:end w:w="70" w:type="dxa"/>
            </w:tcMar>
            <w:vAlign w:val="top"/>
          </w:tcPr>
          <w:p>
            <w:pPr>
              <w:spacing w:after="10"/>
            </w:pPr>
            <w:r>
              <w:rPr>
                <w:sz w:val="13"/>
              </w:rPr>
              <w:t>6. Regional crop mismatch</w:t>
            </w:r>
          </w:p>
        </w:tc>
        <w:tc>
          <w:tcPr>
            <w:tcW w:type="dxa" w:w="2304"/>
            <w:tcBorders>
              <w:top w:val="single" w:sz="4" w:color="D8D2C3"/>
              <w:left w:val="single" w:sz="4" w:color="D8D2C3"/>
              <w:bottom w:val="single" w:sz="4" w:color="D8D2C3"/>
              <w:right w:val="single" w:sz="4" w:color="D8D2C3"/>
              <w:insideH w:val="single" w:sz="4" w:color="D8D2C3"/>
              <w:insideV w:val="single" w:sz="4" w:color="D8D2C3"/>
            </w:tcBorders>
            <w:tcMar>
              <w:top w:w="60" w:type="dxa"/>
              <w:start w:w="70" w:type="dxa"/>
              <w:bottom w:w="60" w:type="dxa"/>
              <w:end w:w="70" w:type="dxa"/>
            </w:tcMar>
            <w:vAlign w:val="top"/>
          </w:tcPr>
          <w:p>
            <w:pPr>
              <w:spacing w:after="10"/>
            </w:pPr>
            <w:r>
              <w:rPr>
                <w:sz w:val="13"/>
              </w:rPr>
              <w:t>A crop is selected for a location whose heat/chill/soil profile is unsuitable.</w:t>
            </w:r>
          </w:p>
        </w:tc>
        <w:tc>
          <w:tcPr>
            <w:tcW w:type="dxa" w:w="4536"/>
            <w:tcBorders>
              <w:top w:val="single" w:sz="4" w:color="D8D2C3"/>
              <w:left w:val="single" w:sz="4" w:color="D8D2C3"/>
              <w:bottom w:val="single" w:sz="4" w:color="D8D2C3"/>
              <w:right w:val="single" w:sz="4" w:color="D8D2C3"/>
              <w:insideH w:val="single" w:sz="4" w:color="D8D2C3"/>
              <w:insideV w:val="single" w:sz="4" w:color="D8D2C3"/>
            </w:tcBorders>
            <w:tcMar>
              <w:top w:w="60" w:type="dxa"/>
              <w:start w:w="70" w:type="dxa"/>
              <w:bottom w:w="60" w:type="dxa"/>
              <w:end w:w="70" w:type="dxa"/>
            </w:tcMar>
            <w:vAlign w:val="top"/>
          </w:tcPr>
          <w:p>
            <w:pPr>
              <w:spacing w:after="10"/>
            </w:pPr>
            <w:r>
              <w:rPr>
                <w:sz w:val="13"/>
              </w:rPr>
              <w:t>Site is selected before seed; simulator returns a suitability warning and allows a safe simulated trial rather than field commitment.</w:t>
            </w:r>
          </w:p>
        </w:tc>
        <w:tc>
          <w:tcPr>
            <w:tcW w:type="dxa" w:w="2376"/>
            <w:tcBorders>
              <w:top w:val="single" w:sz="4" w:color="D8D2C3"/>
              <w:left w:val="single" w:sz="4" w:color="D8D2C3"/>
              <w:bottom w:val="single" w:sz="4" w:color="D8D2C3"/>
              <w:right w:val="single" w:sz="4" w:color="D8D2C3"/>
              <w:insideH w:val="single" w:sz="4" w:color="D8D2C3"/>
              <w:insideV w:val="single" w:sz="4" w:color="D8D2C3"/>
            </w:tcBorders>
            <w:tcMar>
              <w:top w:w="60" w:type="dxa"/>
              <w:start w:w="70" w:type="dxa"/>
              <w:bottom w:w="60" w:type="dxa"/>
              <w:end w:w="70" w:type="dxa"/>
            </w:tcMar>
            <w:vAlign w:val="top"/>
          </w:tcPr>
          <w:p>
            <w:pPr>
              <w:spacing w:after="10"/>
            </w:pPr>
            <w:r>
              <w:rPr>
                <w:sz w:val="13"/>
              </w:rPr>
              <w:t>Climate adaptation; evidence-based extension; local-context validation.</w:t>
            </w:r>
          </w:p>
        </w:tc>
      </w:tr>
    </w:tbl>
    <w:p>
      <w:r>
        <w:br w:type="page"/>
      </w:r>
    </w:p>
    <w:p>
      <w:pPr>
        <w:pStyle w:val="Heading1"/>
      </w:pPr>
      <w:r>
        <w:t>5. Submission Contribution, Limitations and Deployment Plan</w:t>
      </w:r>
    </w:p>
    <w:p>
      <w:pPr>
        <w:pStyle w:val="Heading2"/>
      </w:pPr>
      <w:r>
        <w:t>5.1 Knowledge-base contribution</w:t>
      </w:r>
    </w:p>
    <w:p>
      <w:pPr>
        <w:pStyle w:val="CompactBullet"/>
      </w:pPr>
      <w:r>
        <w:t xml:space="preserve">• </w:t>
      </w:r>
      <w:r>
        <w:t>505 authentic public sources: 83 AI-readiness/policy/standards sources and 422 agricultural/technical sources, with reference numbering preserved for traceability.</w:t>
      </w:r>
    </w:p>
    <w:p>
      <w:pPr>
        <w:pStyle w:val="CompactBullet"/>
      </w:pPr>
      <w:r>
        <w:t xml:space="preserve">• </w:t>
      </w:r>
      <w:r>
        <w:t>Reusable agriculture AI-readiness use-case pattern expressed in Y.3172 pipeline terms.</w:t>
      </w:r>
    </w:p>
    <w:p>
      <w:pPr>
        <w:pStyle w:val="CompactBullet"/>
      </w:pPr>
      <w:r>
        <w:t xml:space="preserve">• </w:t>
      </w:r>
      <w:r>
        <w:t>Agriculture-specific readiness rubric, crop/region climate-matching method, weather-to-action rules, plant-health prompt contract and Jazan crop scheduling defaults.</w:t>
      </w:r>
    </w:p>
    <w:p>
      <w:pPr>
        <w:pStyle w:val="CompactBullet"/>
      </w:pPr>
      <w:r>
        <w:t xml:space="preserve">• </w:t>
      </w:r>
      <w:r>
        <w:t>Policy-node safeguard pattern that checks candidate recommendations before they are surfaced to a farmer.</w:t>
      </w:r>
    </w:p>
    <w:p>
      <w:pPr>
        <w:pStyle w:val="Heading2"/>
      </w:pPr>
      <w:r>
        <w:t>5.2 Prototype limitations and disclosures</w:t>
      </w:r>
    </w:p>
    <w:p>
      <w:pPr>
        <w:pStyle w:val="CompactBullet"/>
      </w:pPr>
      <w:r>
        <w:t xml:space="preserve">• </w:t>
      </w:r>
      <w:r>
        <w:t>The M node is rule-based; no trained statistical/deep-learning model or production accuracy claim is made.</w:t>
      </w:r>
    </w:p>
    <w:p>
      <w:pPr>
        <w:pStyle w:val="CompactBullet"/>
      </w:pPr>
      <w:r>
        <w:t xml:space="preserve">• </w:t>
      </w:r>
      <w:r>
        <w:t>All farm data is illustrative. Authentication and localStorage are prototype-grade and must be replaced by a secure backend/identity layer for production.</w:t>
      </w:r>
    </w:p>
    <w:p>
      <w:pPr>
        <w:pStyle w:val="CompactBullet"/>
      </w:pPr>
      <w:r>
        <w:t xml:space="preserve">• </w:t>
      </w:r>
      <w:r>
        <w:t>Vision diagnosis has not been validated against expert plant-pathologist labels for Jazan crops; field deployment requires such validation.</w:t>
      </w:r>
    </w:p>
    <w:p>
      <w:pPr>
        <w:pStyle w:val="CompactBullet"/>
      </w:pPr>
      <w:r>
        <w:t xml:space="preserve">• </w:t>
      </w:r>
      <w:r>
        <w:t>Online weather and Gemini services are optional dependencies; offline modes are intentionally coarser and labelled as such.</w:t>
      </w:r>
    </w:p>
    <w:p>
      <w:pPr>
        <w:pStyle w:val="CompactBullet"/>
      </w:pPr>
      <w:r>
        <w:t xml:space="preserve">• </w:t>
      </w:r>
      <w:r>
        <w:t>Community content is device-local in the prototype; regional deployment requires server-side identity, moderation and governance.</w:t>
      </w:r>
    </w:p>
    <w:p>
      <w:pPr>
        <w:pStyle w:val="Heading2"/>
      </w:pPr>
      <w:r>
        <w:t>5.3 Next deployment steps</w:t>
      </w:r>
    </w:p>
    <w:tbl>
      <w:tblPr>
        <w:tblW w:type="auto" w:w="0"/>
        <w:jc w:val="center"/>
        <w:tblLayout w:type="fixed"/>
        <w:tblLook w:firstColumn="1" w:firstRow="1" w:lastColumn="0" w:lastRow="0" w:noHBand="0" w:noVBand="1" w:val="04A0"/>
      </w:tblPr>
      <w:tblGrid>
        <w:gridCol w:w="3619"/>
        <w:gridCol w:w="3619"/>
        <w:gridCol w:w="3619"/>
      </w:tblGrid>
      <w:tr>
        <w:trPr>
          <w:tblHeader w:val="true"/>
        </w:trPr>
        <w:tc>
          <w:tcPr>
            <w:tcW w:type="dxa" w:w="1224"/>
            <w:shd w:fill="173F2E"/>
            <w:tcBorders>
              <w:top w:val="single" w:sz="4" w:color="D8D2C3"/>
              <w:left w:val="single" w:sz="4" w:color="D8D2C3"/>
              <w:bottom w:val="single" w:sz="4" w:color="D8D2C3"/>
              <w:right w:val="single" w:sz="4" w:color="D8D2C3"/>
              <w:insideH w:val="single" w:sz="4" w:color="D8D2C3"/>
              <w:insideV w:val="single" w:sz="4" w:color="D8D2C3"/>
            </w:tcBorders>
            <w:tcMar>
              <w:top w:w="60" w:type="dxa"/>
              <w:start w:w="70" w:type="dxa"/>
              <w:bottom w:w="60" w:type="dxa"/>
              <w:end w:w="70" w:type="dxa"/>
            </w:tcMar>
            <w:vAlign w:val="center"/>
          </w:tcPr>
          <w:p>
            <w:r>
              <w:rPr>
                <w:b/>
                <w:color w:val="FFFFFF"/>
                <w:sz w:val="14"/>
              </w:rPr>
              <w:t>Phase</w:t>
            </w:r>
          </w:p>
        </w:tc>
        <w:tc>
          <w:tcPr>
            <w:tcW w:type="dxa" w:w="5256"/>
            <w:shd w:fill="173F2E"/>
            <w:tcBorders>
              <w:top w:val="single" w:sz="4" w:color="D8D2C3"/>
              <w:left w:val="single" w:sz="4" w:color="D8D2C3"/>
              <w:bottom w:val="single" w:sz="4" w:color="D8D2C3"/>
              <w:right w:val="single" w:sz="4" w:color="D8D2C3"/>
              <w:insideH w:val="single" w:sz="4" w:color="D8D2C3"/>
              <w:insideV w:val="single" w:sz="4" w:color="D8D2C3"/>
            </w:tcBorders>
            <w:tcMar>
              <w:top w:w="60" w:type="dxa"/>
              <w:start w:w="70" w:type="dxa"/>
              <w:bottom w:w="60" w:type="dxa"/>
              <w:end w:w="70" w:type="dxa"/>
            </w:tcMar>
            <w:vAlign w:val="center"/>
          </w:tcPr>
          <w:p>
            <w:r>
              <w:rPr>
                <w:b/>
                <w:color w:val="FFFFFF"/>
                <w:sz w:val="14"/>
              </w:rPr>
              <w:t>Action</w:t>
            </w:r>
          </w:p>
        </w:tc>
        <w:tc>
          <w:tcPr>
            <w:tcW w:type="dxa" w:w="4320"/>
            <w:shd w:fill="173F2E"/>
            <w:tcBorders>
              <w:top w:val="single" w:sz="4" w:color="D8D2C3"/>
              <w:left w:val="single" w:sz="4" w:color="D8D2C3"/>
              <w:bottom w:val="single" w:sz="4" w:color="D8D2C3"/>
              <w:right w:val="single" w:sz="4" w:color="D8D2C3"/>
              <w:insideH w:val="single" w:sz="4" w:color="D8D2C3"/>
              <w:insideV w:val="single" w:sz="4" w:color="D8D2C3"/>
            </w:tcBorders>
            <w:tcMar>
              <w:top w:w="60" w:type="dxa"/>
              <w:start w:w="70" w:type="dxa"/>
              <w:bottom w:w="60" w:type="dxa"/>
              <w:end w:w="70" w:type="dxa"/>
            </w:tcMar>
            <w:vAlign w:val="center"/>
          </w:tcPr>
          <w:p>
            <w:r>
              <w:rPr>
                <w:b/>
                <w:color w:val="FFFFFF"/>
                <w:sz w:val="14"/>
              </w:rPr>
              <w:t>Evidence of readiness</w:t>
            </w:r>
          </w:p>
        </w:tc>
      </w:tr>
      <w:tr>
        <w:tc>
          <w:tcPr>
            <w:tcW w:type="dxa" w:w="1224"/>
            <w:tcBorders>
              <w:top w:val="single" w:sz="4" w:color="D8D2C3"/>
              <w:left w:val="single" w:sz="4" w:color="D8D2C3"/>
              <w:bottom w:val="single" w:sz="4" w:color="D8D2C3"/>
              <w:right w:val="single" w:sz="4" w:color="D8D2C3"/>
              <w:insideH w:val="single" w:sz="4" w:color="D8D2C3"/>
              <w:insideV w:val="single" w:sz="4" w:color="D8D2C3"/>
            </w:tcBorders>
            <w:tcMar>
              <w:top w:w="60" w:type="dxa"/>
              <w:start w:w="70" w:type="dxa"/>
              <w:bottom w:w="60" w:type="dxa"/>
              <w:end w:w="70" w:type="dxa"/>
            </w:tcMar>
            <w:vAlign w:val="top"/>
          </w:tcPr>
          <w:p>
            <w:pPr>
              <w:spacing w:after="10"/>
            </w:pPr>
            <w:r>
              <w:rPr>
                <w:sz w:val="14"/>
              </w:rPr>
              <w:t>1. Validate</w:t>
            </w:r>
          </w:p>
        </w:tc>
        <w:tc>
          <w:tcPr>
            <w:tcW w:type="dxa" w:w="5256"/>
            <w:tcBorders>
              <w:top w:val="single" w:sz="4" w:color="D8D2C3"/>
              <w:left w:val="single" w:sz="4" w:color="D8D2C3"/>
              <w:bottom w:val="single" w:sz="4" w:color="D8D2C3"/>
              <w:right w:val="single" w:sz="4" w:color="D8D2C3"/>
              <w:insideH w:val="single" w:sz="4" w:color="D8D2C3"/>
              <w:insideV w:val="single" w:sz="4" w:color="D8D2C3"/>
            </w:tcBorders>
            <w:tcMar>
              <w:top w:w="60" w:type="dxa"/>
              <w:start w:w="70" w:type="dxa"/>
              <w:bottom w:w="60" w:type="dxa"/>
              <w:end w:w="70" w:type="dxa"/>
            </w:tcMar>
            <w:vAlign w:val="top"/>
          </w:tcPr>
          <w:p>
            <w:pPr>
              <w:spacing w:after="10"/>
            </w:pPr>
            <w:r>
              <w:rPr>
                <w:sz w:val="14"/>
              </w:rPr>
              <w:t>Pilot with agronomists and a small number of Jazan farms; validate crop rules and vision outputs.</w:t>
            </w:r>
          </w:p>
        </w:tc>
        <w:tc>
          <w:tcPr>
            <w:tcW w:type="dxa" w:w="4320"/>
            <w:tcBorders>
              <w:top w:val="single" w:sz="4" w:color="D8D2C3"/>
              <w:left w:val="single" w:sz="4" w:color="D8D2C3"/>
              <w:bottom w:val="single" w:sz="4" w:color="D8D2C3"/>
              <w:right w:val="single" w:sz="4" w:color="D8D2C3"/>
              <w:insideH w:val="single" w:sz="4" w:color="D8D2C3"/>
              <w:insideV w:val="single" w:sz="4" w:color="D8D2C3"/>
            </w:tcBorders>
            <w:tcMar>
              <w:top w:w="60" w:type="dxa"/>
              <w:start w:w="70" w:type="dxa"/>
              <w:bottom w:w="60" w:type="dxa"/>
              <w:end w:w="70" w:type="dxa"/>
            </w:tcMar>
            <w:vAlign w:val="top"/>
          </w:tcPr>
          <w:p>
            <w:pPr>
              <w:spacing w:after="10"/>
            </w:pPr>
            <w:r>
              <w:rPr>
                <w:sz w:val="14"/>
              </w:rPr>
              <w:t>Error analysis, expert agreement, documented failure modes.</w:t>
            </w:r>
          </w:p>
        </w:tc>
      </w:tr>
      <w:tr>
        <w:tc>
          <w:tcPr>
            <w:tcW w:type="dxa" w:w="1224"/>
            <w:tcBorders>
              <w:top w:val="single" w:sz="4" w:color="D8D2C3"/>
              <w:left w:val="single" w:sz="4" w:color="D8D2C3"/>
              <w:bottom w:val="single" w:sz="4" w:color="D8D2C3"/>
              <w:right w:val="single" w:sz="4" w:color="D8D2C3"/>
              <w:insideH w:val="single" w:sz="4" w:color="D8D2C3"/>
              <w:insideV w:val="single" w:sz="4" w:color="D8D2C3"/>
            </w:tcBorders>
            <w:tcMar>
              <w:top w:w="60" w:type="dxa"/>
              <w:start w:w="70" w:type="dxa"/>
              <w:bottom w:w="60" w:type="dxa"/>
              <w:end w:w="70" w:type="dxa"/>
            </w:tcMar>
            <w:vAlign w:val="top"/>
          </w:tcPr>
          <w:p>
            <w:pPr>
              <w:spacing w:after="10"/>
            </w:pPr>
            <w:r>
              <w:rPr>
                <w:sz w:val="14"/>
              </w:rPr>
              <w:t>2. Secure</w:t>
            </w:r>
          </w:p>
        </w:tc>
        <w:tc>
          <w:tcPr>
            <w:tcW w:type="dxa" w:w="5256"/>
            <w:tcBorders>
              <w:top w:val="single" w:sz="4" w:color="D8D2C3"/>
              <w:left w:val="single" w:sz="4" w:color="D8D2C3"/>
              <w:bottom w:val="single" w:sz="4" w:color="D8D2C3"/>
              <w:right w:val="single" w:sz="4" w:color="D8D2C3"/>
              <w:insideH w:val="single" w:sz="4" w:color="D8D2C3"/>
              <w:insideV w:val="single" w:sz="4" w:color="D8D2C3"/>
            </w:tcBorders>
            <w:tcMar>
              <w:top w:w="60" w:type="dxa"/>
              <w:start w:w="70" w:type="dxa"/>
              <w:bottom w:w="60" w:type="dxa"/>
              <w:end w:w="70" w:type="dxa"/>
            </w:tcMar>
            <w:vAlign w:val="top"/>
          </w:tcPr>
          <w:p>
            <w:pPr>
              <w:spacing w:after="10"/>
            </w:pPr>
            <w:r>
              <w:rPr>
                <w:sz w:val="14"/>
              </w:rPr>
              <w:t>Replace localStorage with consent-aware backend, access control, audit logs and deletion/export controls.</w:t>
            </w:r>
          </w:p>
        </w:tc>
        <w:tc>
          <w:tcPr>
            <w:tcW w:type="dxa" w:w="4320"/>
            <w:tcBorders>
              <w:top w:val="single" w:sz="4" w:color="D8D2C3"/>
              <w:left w:val="single" w:sz="4" w:color="D8D2C3"/>
              <w:bottom w:val="single" w:sz="4" w:color="D8D2C3"/>
              <w:right w:val="single" w:sz="4" w:color="D8D2C3"/>
              <w:insideH w:val="single" w:sz="4" w:color="D8D2C3"/>
              <w:insideV w:val="single" w:sz="4" w:color="D8D2C3"/>
            </w:tcBorders>
            <w:tcMar>
              <w:top w:w="60" w:type="dxa"/>
              <w:start w:w="70" w:type="dxa"/>
              <w:bottom w:w="60" w:type="dxa"/>
              <w:end w:w="70" w:type="dxa"/>
            </w:tcMar>
            <w:vAlign w:val="top"/>
          </w:tcPr>
          <w:p>
            <w:pPr>
              <w:spacing w:after="10"/>
            </w:pPr>
            <w:r>
              <w:rPr>
                <w:sz w:val="14"/>
              </w:rPr>
              <w:t>PDPL-aligned data map and security review.</w:t>
            </w:r>
          </w:p>
        </w:tc>
      </w:tr>
      <w:tr>
        <w:tc>
          <w:tcPr>
            <w:tcW w:type="dxa" w:w="1224"/>
            <w:tcBorders>
              <w:top w:val="single" w:sz="4" w:color="D8D2C3"/>
              <w:left w:val="single" w:sz="4" w:color="D8D2C3"/>
              <w:bottom w:val="single" w:sz="4" w:color="D8D2C3"/>
              <w:right w:val="single" w:sz="4" w:color="D8D2C3"/>
              <w:insideH w:val="single" w:sz="4" w:color="D8D2C3"/>
              <w:insideV w:val="single" w:sz="4" w:color="D8D2C3"/>
            </w:tcBorders>
            <w:tcMar>
              <w:top w:w="60" w:type="dxa"/>
              <w:start w:w="70" w:type="dxa"/>
              <w:bottom w:w="60" w:type="dxa"/>
              <w:end w:w="70" w:type="dxa"/>
            </w:tcMar>
            <w:vAlign w:val="top"/>
          </w:tcPr>
          <w:p>
            <w:pPr>
              <w:spacing w:after="10"/>
            </w:pPr>
            <w:r>
              <w:rPr>
                <w:sz w:val="14"/>
              </w:rPr>
              <w:t>3. Learn</w:t>
            </w:r>
          </w:p>
        </w:tc>
        <w:tc>
          <w:tcPr>
            <w:tcW w:type="dxa" w:w="5256"/>
            <w:tcBorders>
              <w:top w:val="single" w:sz="4" w:color="D8D2C3"/>
              <w:left w:val="single" w:sz="4" w:color="D8D2C3"/>
              <w:bottom w:val="single" w:sz="4" w:color="D8D2C3"/>
              <w:right w:val="single" w:sz="4" w:color="D8D2C3"/>
              <w:insideH w:val="single" w:sz="4" w:color="D8D2C3"/>
              <w:insideV w:val="single" w:sz="4" w:color="D8D2C3"/>
            </w:tcBorders>
            <w:tcMar>
              <w:top w:w="60" w:type="dxa"/>
              <w:start w:w="70" w:type="dxa"/>
              <w:bottom w:w="60" w:type="dxa"/>
              <w:end w:w="70" w:type="dxa"/>
            </w:tcMar>
            <w:vAlign w:val="top"/>
          </w:tcPr>
          <w:p>
            <w:pPr>
              <w:spacing w:after="10"/>
            </w:pPr>
            <w:r>
              <w:rPr>
                <w:sz w:val="14"/>
              </w:rPr>
              <w:t>Use consented farm records to train/validate a predictive M node while preserving surrounding Y.3172 nodes.</w:t>
            </w:r>
          </w:p>
        </w:tc>
        <w:tc>
          <w:tcPr>
            <w:tcW w:type="dxa" w:w="4320"/>
            <w:tcBorders>
              <w:top w:val="single" w:sz="4" w:color="D8D2C3"/>
              <w:left w:val="single" w:sz="4" w:color="D8D2C3"/>
              <w:bottom w:val="single" w:sz="4" w:color="D8D2C3"/>
              <w:right w:val="single" w:sz="4" w:color="D8D2C3"/>
              <w:insideH w:val="single" w:sz="4" w:color="D8D2C3"/>
              <w:insideV w:val="single" w:sz="4" w:color="D8D2C3"/>
            </w:tcBorders>
            <w:tcMar>
              <w:top w:w="60" w:type="dxa"/>
              <w:start w:w="70" w:type="dxa"/>
              <w:bottom w:w="60" w:type="dxa"/>
              <w:end w:w="70" w:type="dxa"/>
            </w:tcMar>
            <w:vAlign w:val="top"/>
          </w:tcPr>
          <w:p>
            <w:pPr>
              <w:spacing w:after="10"/>
            </w:pPr>
            <w:r>
              <w:rPr>
                <w:sz w:val="14"/>
              </w:rPr>
              <w:t>Versioned model card, validation report, rollback path.</w:t>
            </w:r>
          </w:p>
        </w:tc>
      </w:tr>
      <w:tr>
        <w:tc>
          <w:tcPr>
            <w:tcW w:type="dxa" w:w="1224"/>
            <w:tcBorders>
              <w:top w:val="single" w:sz="4" w:color="D8D2C3"/>
              <w:left w:val="single" w:sz="4" w:color="D8D2C3"/>
              <w:bottom w:val="single" w:sz="4" w:color="D8D2C3"/>
              <w:right w:val="single" w:sz="4" w:color="D8D2C3"/>
              <w:insideH w:val="single" w:sz="4" w:color="D8D2C3"/>
              <w:insideV w:val="single" w:sz="4" w:color="D8D2C3"/>
            </w:tcBorders>
            <w:tcMar>
              <w:top w:w="60" w:type="dxa"/>
              <w:start w:w="70" w:type="dxa"/>
              <w:bottom w:w="60" w:type="dxa"/>
              <w:end w:w="70" w:type="dxa"/>
            </w:tcMar>
            <w:vAlign w:val="top"/>
          </w:tcPr>
          <w:p>
            <w:pPr>
              <w:spacing w:after="10"/>
            </w:pPr>
            <w:r>
              <w:rPr>
                <w:sz w:val="14"/>
              </w:rPr>
              <w:t>4. Scale</w:t>
            </w:r>
          </w:p>
        </w:tc>
        <w:tc>
          <w:tcPr>
            <w:tcW w:type="dxa" w:w="5256"/>
            <w:tcBorders>
              <w:top w:val="single" w:sz="4" w:color="D8D2C3"/>
              <w:left w:val="single" w:sz="4" w:color="D8D2C3"/>
              <w:bottom w:val="single" w:sz="4" w:color="D8D2C3"/>
              <w:right w:val="single" w:sz="4" w:color="D8D2C3"/>
              <w:insideH w:val="single" w:sz="4" w:color="D8D2C3"/>
              <w:insideV w:val="single" w:sz="4" w:color="D8D2C3"/>
            </w:tcBorders>
            <w:tcMar>
              <w:top w:w="60" w:type="dxa"/>
              <w:start w:w="70" w:type="dxa"/>
              <w:bottom w:w="60" w:type="dxa"/>
              <w:end w:w="70" w:type="dxa"/>
            </w:tcMar>
            <w:vAlign w:val="top"/>
          </w:tcPr>
          <w:p>
            <w:pPr>
              <w:spacing w:after="10"/>
            </w:pPr>
            <w:r>
              <w:rPr>
                <w:sz w:val="14"/>
              </w:rPr>
              <w:t>Arabic RTL interface, wider crop coverage, extension/MEWA integration and regional dashboards.</w:t>
            </w:r>
          </w:p>
        </w:tc>
        <w:tc>
          <w:tcPr>
            <w:tcW w:type="dxa" w:w="4320"/>
            <w:tcBorders>
              <w:top w:val="single" w:sz="4" w:color="D8D2C3"/>
              <w:left w:val="single" w:sz="4" w:color="D8D2C3"/>
              <w:bottom w:val="single" w:sz="4" w:color="D8D2C3"/>
              <w:right w:val="single" w:sz="4" w:color="D8D2C3"/>
              <w:insideH w:val="single" w:sz="4" w:color="D8D2C3"/>
              <w:insideV w:val="single" w:sz="4" w:color="D8D2C3"/>
            </w:tcBorders>
            <w:tcMar>
              <w:top w:w="60" w:type="dxa"/>
              <w:start w:w="70" w:type="dxa"/>
              <w:bottom w:w="60" w:type="dxa"/>
              <w:end w:w="70" w:type="dxa"/>
            </w:tcMar>
            <w:vAlign w:val="top"/>
          </w:tcPr>
          <w:p>
            <w:pPr>
              <w:spacing w:after="10"/>
            </w:pPr>
            <w:r>
              <w:rPr>
                <w:sz w:val="14"/>
              </w:rPr>
              <w:t>Field adoption metrics, water/decision outcomes, readiness-score improvement.</w:t>
            </w:r>
          </w:p>
        </w:tc>
      </w:tr>
    </w:tbl>
    <w:p>
      <w:pPr>
        <w:pStyle w:val="Heading2"/>
      </w:pPr>
      <w:r>
        <w:t>5.4 Submission files</w:t>
      </w:r>
    </w:p>
    <w:p>
      <w:r>
        <w:t>Technical report (this document); demo video (≤7 minutes); GitHub-ready source code; 505-source Knowledge Base; AI Readiness Scorecard workbook; supporting pitch deck and extended project explanation. The final ZIP supplied with this report groups all currently available deliverables. All required deliverables are included in the final submission package, with the demo video and public repository link provided in the submission email.</w:t>
      </w:r>
    </w:p>
    <w:p>
      <w:r>
        <w:rPr>
          <w:b/>
        </w:rPr>
        <w:t>Project statement:</w:t>
      </w:r>
      <w:r>
        <w:t xml:space="preserve"> TerraTwin tests the decision before the crop. It measures whether a farm is ready for AI, provides a safe place to be wrong, and makes governance visible inside the same pipeline that produces the recommendation.</w:t>
      </w:r>
    </w:p>
    <w:sectPr w:rsidR="00FC693F" w:rsidRPr="0006063C" w:rsidSect="00034616">
      <w:headerReference w:type="default" r:id="rId9"/>
      <w:footerReference w:type="default" r:id="rId10"/>
      <w:pgSz w:w="12240" w:h="15840"/>
      <w:pgMar w:top="605" w:right="691" w:bottom="605" w:left="691" w:header="259" w:footer="25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87878"/>
        <w:sz w:val="14"/>
      </w:rPr>
      <w:t xml:space="preserve">Wanas Zakri · Management Information Systems · Jazan University   </w:t>
    </w: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6E6E6E"/>
        <w:sz w:val="15"/>
      </w:rPr>
      <w:t>TerraTwin · ITU AI Readiness Hackathon — Kingdom of Saudi Arabia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0" w:line="245" w:lineRule="auto"/>
    </w:pPr>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60" w:after="60"/>
      <w:outlineLvl w:val="0"/>
    </w:pPr>
    <w:rPr>
      <w:rFonts w:asciiTheme="majorHAnsi" w:eastAsiaTheme="majorEastAsia" w:hAnsiTheme="majorHAnsi" w:cstheme="majorBidi" w:ascii="Aptos Display" w:hAnsi="Aptos Display"/>
      <w:b/>
      <w:bCs/>
      <w:color w:val="173F2E"/>
      <w:sz w:val="26"/>
      <w:szCs w:val="28"/>
    </w:rPr>
  </w:style>
  <w:style w:type="paragraph" w:styleId="Heading2">
    <w:name w:val="heading 2"/>
    <w:basedOn w:val="Normal"/>
    <w:next w:val="Normal"/>
    <w:link w:val="Heading2Char"/>
    <w:uiPriority w:val="9"/>
    <w:unhideWhenUsed/>
    <w:qFormat/>
    <w:rsid w:val="00FC693F"/>
    <w:pPr>
      <w:keepNext/>
      <w:keepLines/>
      <w:spacing w:before="60" w:after="60"/>
      <w:outlineLvl w:val="1"/>
    </w:pPr>
    <w:rPr>
      <w:rFonts w:asciiTheme="majorHAnsi" w:eastAsiaTheme="majorEastAsia" w:hAnsiTheme="majorHAnsi" w:cstheme="majorBidi" w:ascii="Aptos Display" w:hAnsi="Aptos Display"/>
      <w:b/>
      <w:bCs/>
      <w:color w:val="2F6B5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60"/>
      <w:contextualSpacing/>
    </w:pPr>
    <w:rPr>
      <w:rFonts w:asciiTheme="majorHAnsi" w:eastAsiaTheme="majorEastAsia" w:hAnsiTheme="majorHAnsi" w:cstheme="majorBidi" w:ascii="Aptos Display" w:hAnsi="Aptos Display"/>
      <w:b/>
      <w:color w:val="173F2E"/>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Bullet">
    <w:name w:val="Compact Bullet"/>
    <w:basedOn w:val="Normal"/>
    <w:pPr>
      <w:spacing w:after="24"/>
      <w:ind w:left="230" w:hanging="158"/>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