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00"/>
      </w:pPr>
      <w:r>
        <w:rPr>
          <w:rFonts w:ascii="Calibri" w:cs="Calibri" w:eastAsia="Calibri" w:hAnsi="Calibri"/>
          <w:b/>
          <w:bCs/>
          <w:color w:val="40916C"/>
          <w:spacing w:val="40"/>
          <w:sz w:val="17"/>
          <w:szCs w:val="17"/>
        </w:rPr>
        <w:t xml:space="preserve">ITU AI READINESS HACKATHON — KINGDOM OF SAUDI ARABIA</w:t>
      </w:r>
    </w:p>
    <w:p>
      <w:pPr>
        <w:spacing w:after="60"/>
      </w:pPr>
      <w:r>
        <w:rPr>
          <w:rFonts w:ascii="Cambria" w:cs="Cambria" w:eastAsia="Cambria" w:hAnsi="Cambria"/>
          <w:b/>
          <w:bCs/>
          <w:color w:val="1B4332"/>
          <w:sz w:val="72"/>
          <w:szCs w:val="72"/>
        </w:rPr>
        <w:t xml:space="preserve">TerraTwin</w:t>
      </w:r>
    </w:p>
    <w:p>
      <w:pPr>
        <w:spacing w:after="300"/>
      </w:pPr>
      <w:r>
        <w:rPr>
          <w:rFonts w:ascii="Cambria" w:cs="Cambria" w:eastAsia="Cambria" w:hAnsi="Cambria"/>
          <w:i/>
          <w:iCs/>
          <w:color w:val="5A5248"/>
          <w:sz w:val="26"/>
          <w:szCs w:val="26"/>
        </w:rPr>
        <w:t xml:space="preserve">An AI readiness digital twin for sustainable agriculture in Jazan, Saudi Arabia</w:t>
      </w:r>
    </w:p>
    <w:p>
      <w:pPr>
        <w:pBdr>
          <w:bottom w:val="single" w:color="D9CEB8" w:sz="6" w:space="6"/>
        </w:pBdr>
        <w:spacing w:after="220" w:before="60"/>
      </w:pPr>
      <w:r>
        <w:t xml:space="preserve"/>
      </w:r>
    </w:p>
    <w:p>
      <w:pPr>
        <w:spacing w:after="60" w:line="300"/>
      </w:pPr>
      <w:r>
        <w:rPr>
          <w:rFonts w:ascii="Calibri" w:cs="Calibri" w:eastAsia="Calibri" w:hAnsi="Calibri"/>
          <w:b/>
          <w:bCs/>
          <w:color w:val="241F1A"/>
          <w:sz w:val="21"/>
          <w:szCs w:val="21"/>
        </w:rPr>
        <w:t xml:space="preserve">AI Application Explanation — full project document</w:t>
      </w:r>
    </w:p>
    <w:p>
      <w:pPr>
        <w:spacing w:after="120" w:line="300"/>
      </w:pPr>
      <w:r>
        <w:rPr>
          <w:rFonts w:ascii="Calibri" w:cs="Calibri" w:eastAsia="Calibri" w:hAnsi="Calibri"/>
          <w:color w:val="5A5248"/>
          <w:sz w:val="20"/>
          <w:szCs w:val="20"/>
        </w:rPr>
        <w:t xml:space="preserve">Architecture aligned to Recommendation ITU-T Y.3172 (ML pipeline, MLFO, ML Sandbox)</w:t>
      </w:r>
    </w:p>
    <w:p>
      <w:pPr>
        <w:spacing w:after="500"/>
      </w:pPr>
      <w:r>
        <w:t xml:space="preserve"/>
      </w:r>
    </w:p>
    <w:p>
      <w:pPr>
        <w:spacing w:after="40" w:line="300"/>
      </w:pPr>
      <w:r>
        <w:rPr>
          <w:rFonts w:ascii="Calibri" w:cs="Calibri" w:eastAsia="Calibri" w:hAnsi="Calibri"/>
          <w:color w:val="5A5248"/>
          <w:sz w:val="21"/>
          <w:szCs w:val="21"/>
        </w:rPr>
        <w:t xml:space="preserve">Author  </w:t>
      </w:r>
      <w:r>
        <w:rPr>
          <w:rFonts w:ascii="Calibri" w:cs="Calibri" w:eastAsia="Calibri" w:hAnsi="Calibri"/>
          <w:b/>
          <w:bCs/>
          <w:color w:val="241F1A"/>
          <w:sz w:val="21"/>
          <w:szCs w:val="21"/>
        </w:rPr>
        <w:t xml:space="preserve">Wanas Zakri  —  ونس زكري</w:t>
      </w:r>
    </w:p>
    <w:p>
      <w:pPr>
        <w:spacing w:after="40" w:line="300"/>
      </w:pPr>
      <w:r>
        <w:rPr>
          <w:rFonts w:ascii="Calibri" w:cs="Calibri" w:eastAsia="Calibri" w:hAnsi="Calibri"/>
          <w:color w:val="5A5248"/>
          <w:sz w:val="20"/>
          <w:szCs w:val="20"/>
        </w:rPr>
        <w:t xml:space="preserve">Management Information Systems, College of Business Administration, Jazan University</w:t>
      </w:r>
    </w:p>
    <w:p>
      <w:pPr>
        <w:spacing w:after="120" w:line="300"/>
      </w:pPr>
      <w:r>
        <w:rPr>
          <w:rFonts w:ascii="Calibri" w:cs="Calibri" w:eastAsia="Calibri" w:hAnsi="Calibri"/>
          <w:i/>
          <w:iCs/>
          <w:color w:val="5A5248"/>
          <w:sz w:val="20"/>
          <w:szCs w:val="20"/>
        </w:rPr>
        <w:t xml:space="preserve">Concept, design, and development — sole author</w:t>
      </w:r>
    </w:p>
    <w:p>
      <w:pPr>
        <w:spacing w:after="240"/>
      </w:pPr>
      <w:r>
        <w:t xml:space="preserve"/>
      </w:r>
    </w:p>
    <w:p>
      <w:pPr>
        <w:spacing w:after="120" w:line="300"/>
      </w:pPr>
      <w:r>
        <w:rPr>
          <w:rFonts w:ascii="Calibri" w:cs="Calibri" w:eastAsia="Calibri" w:hAnsi="Calibri"/>
          <w:i/>
          <w:iCs/>
          <w:color w:val="5A5248"/>
          <w:sz w:val="18"/>
          <w:szCs w:val="18"/>
        </w:rPr>
        <w:t xml:space="preserve">Prototype scenario using sample data. The Model node is rule-based, not a trained statistical or deep-learning model. No accuracy or production-readiness claims are made.</w:t>
      </w:r>
    </w:p>
    <w:p>
      <w:r>
        <w:br w:type="page"/>
      </w:r>
    </w:p>
    <w:p>
      <w:pPr>
        <w:pStyle w:val="Heading1"/>
        <w:spacing w:after="140" w:before="360"/>
      </w:pPr>
      <w:r>
        <w:rPr>
          <w:rFonts w:ascii="Cambria" w:cs="Cambria" w:eastAsia="Cambria" w:hAnsi="Cambria"/>
          <w:b/>
          <w:bCs/>
          <w:color w:val="1B4332"/>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pPr>
      <w:r>
        <w:rPr>
          <w:rFonts w:ascii="Calibri" w:cs="Calibri" w:eastAsia="Calibri" w:hAnsi="Calibri"/>
          <w:i/>
          <w:iCs/>
          <w:color w:val="5A5248"/>
          <w:sz w:val="18"/>
          <w:szCs w:val="18"/>
        </w:rPr>
        <w:t xml:space="preserve">Right-click and choose “Update field” in Word to populate the page numbers.</w:t>
      </w:r>
    </w:p>
    <w:p>
      <w:r>
        <w:br w:type="page"/>
      </w:r>
    </w:p>
    <w:p>
      <w:pPr>
        <w:pStyle w:val="Heading1"/>
        <w:spacing w:after="140" w:before="360"/>
      </w:pPr>
      <w:r>
        <w:rPr>
          <w:rFonts w:ascii="Cambria" w:cs="Cambria" w:eastAsia="Cambria" w:hAnsi="Cambria"/>
          <w:b/>
          <w:bCs/>
          <w:color w:val="1B4332"/>
          <w:sz w:val="30"/>
          <w:szCs w:val="30"/>
        </w:rPr>
        <w:t xml:space="preserve">1. Executive summary</w:t>
      </w:r>
    </w:p>
    <w:p>
      <w:pPr>
        <w:spacing w:after="120" w:line="300"/>
      </w:pPr>
      <w:r>
        <w:rPr>
          <w:rFonts w:ascii="Calibri" w:cs="Calibri" w:eastAsia="Calibri" w:hAnsi="Calibri"/>
          <w:color w:val="241F1A"/>
          <w:sz w:val="21"/>
          <w:szCs w:val="21"/>
        </w:rPr>
        <w:t xml:space="preserve">TerraTwin is a working web application that measures how ready a farm is to adopt artificial intelligence, and then lets that farm rehearse an agricultural decision inside a sandbox before the decision touches a real crop. It was built for the ITU AI Readiness Hackathon — Kingdom of Saudi Arabia, and its decision architecture implements Recommendation ITU-T Y.3172 node for node rather than citing it.</w:t>
      </w:r>
    </w:p>
    <w:p>
      <w:pPr>
        <w:spacing w:after="120" w:line="300"/>
      </w:pPr>
      <w:r>
        <w:rPr>
          <w:rFonts w:ascii="Calibri" w:cs="Calibri" w:eastAsia="Calibri" w:hAnsi="Calibri"/>
          <w:color w:val="241F1A"/>
          <w:sz w:val="21"/>
          <w:szCs w:val="21"/>
        </w:rPr>
        <w:t xml:space="preserve">The application is set in the Jazan region of south-western Saudi Arabia, which contains five distinct farming systems inside one administrative boundary: the hot and humid Tihama coast with saline groundwater, the wadi farmland at Sabya, the Abu Arish plain, the foothill terraces of Al-Reeth, and the highland terraces of Fifa at 1,600 metres where Khawlani coffee is grown — a cultivation practice inscribed by UNESCO in 2022.</w:t>
      </w:r>
    </w:p>
    <w:p>
      <w:pPr>
        <w:spacing w:after="120" w:line="300"/>
      </w:pPr>
      <w:r>
        <w:rPr>
          <w:rFonts w:ascii="Calibri" w:cs="Calibri" w:eastAsia="Calibri" w:hAnsi="Calibri"/>
          <w:color w:val="241F1A"/>
          <w:sz w:val="21"/>
          <w:szCs w:val="21"/>
        </w:rPr>
        <w:t xml:space="preserve">Beyond the readiness assessment and the sandbox, the application carries the daily operations of a smallholding: a plant register with irrigation and fertilisation scheduling, an AI camera that diagnoses plant health from a photograph, a weather-alert engine that reads the forecast against what is actually planted, a farmers' forum that accepts voice notes as well as text, and a local market for seed, seedlings, inputs and services.</w:t>
      </w:r>
    </w:p>
    <w:p>
      <w:pPr>
        <w:spacing w:after="120" w:line="300"/>
      </w:pPr>
      <w:r>
        <w:rPr>
          <w:rFonts w:ascii="Calibri" w:cs="Calibri" w:eastAsia="Calibri" w:hAnsi="Calibri"/>
          <w:color w:val="241F1A"/>
          <w:sz w:val="21"/>
          <w:szCs w:val="21"/>
        </w:rPr>
        <w:t xml:space="preserve">It runs as a static site — HTML, CSS and vanilla JavaScript, no framework, no server, no mandatory API key — so it can be opened by a judge in one click and by a farmer on a phone with an intermittent connection.</w:t>
      </w:r>
    </w:p>
    <w:p>
      <w:pPr>
        <w:pStyle w:val="Heading1"/>
        <w:spacing w:after="140" w:before="360"/>
      </w:pPr>
      <w:r>
        <w:rPr>
          <w:rFonts w:ascii="Cambria" w:cs="Cambria" w:eastAsia="Cambria" w:hAnsi="Cambria"/>
          <w:b/>
          <w:bCs/>
          <w:color w:val="1B4332"/>
          <w:sz w:val="30"/>
          <w:szCs w:val="30"/>
        </w:rPr>
        <w:t xml:space="preserve">2. The problem</w:t>
      </w:r>
    </w:p>
    <w:p>
      <w:pPr>
        <w:pStyle w:val="Heading2"/>
        <w:spacing w:after="100" w:before="260"/>
      </w:pPr>
      <w:r>
        <w:rPr>
          <w:rFonts w:ascii="Cambria" w:cs="Cambria" w:eastAsia="Cambria" w:hAnsi="Cambria"/>
          <w:b/>
          <w:bCs/>
          <w:color w:val="40916C"/>
          <w:sz w:val="24"/>
          <w:szCs w:val="24"/>
        </w:rPr>
        <w:t xml:space="preserve">2.1 AI arrives at farms that cannot receive it</w:t>
      </w:r>
    </w:p>
    <w:p>
      <w:pPr>
        <w:spacing w:after="120" w:line="300"/>
      </w:pPr>
      <w:r>
        <w:rPr>
          <w:rFonts w:ascii="Calibri" w:cs="Calibri" w:eastAsia="Calibri" w:hAnsi="Calibri"/>
          <w:color w:val="241F1A"/>
          <w:sz w:val="21"/>
          <w:szCs w:val="21"/>
        </w:rPr>
        <w:t xml:space="preserve">Most agricultural AI reaches a farm as a finished instruction: irrigate now, spray this, plant that. Two things go wrong.</w:t>
      </w:r>
    </w:p>
    <w:p>
      <w:pPr>
        <w:spacing w:after="120" w:line="300"/>
      </w:pPr>
      <w:r>
        <w:rPr>
          <w:rFonts w:ascii="Calibri" w:cs="Calibri" w:eastAsia="Calibri" w:hAnsi="Calibri"/>
          <w:color w:val="241F1A"/>
          <w:sz w:val="21"/>
          <w:szCs w:val="21"/>
        </w:rPr>
        <w:t xml:space="preserve">The first is that the farm is usually not ready to receive it. There is no soil-moisture history, no reliable connectivity in the field, no sensor coverage, and no settled position on who owns the data or who may see it. A model trained on someone else's ground is deployed onto a farm that cannot feed it and cannot check it, and it fails quietly — which is worse than failing loudly, because nobody learns anything.</w:t>
      </w:r>
    </w:p>
    <w:p>
      <w:pPr>
        <w:pStyle w:val="Heading2"/>
        <w:spacing w:after="100" w:before="260"/>
      </w:pPr>
      <w:r>
        <w:rPr>
          <w:rFonts w:ascii="Cambria" w:cs="Cambria" w:eastAsia="Cambria" w:hAnsi="Cambria"/>
          <w:b/>
          <w:bCs/>
          <w:color w:val="40916C"/>
          <w:sz w:val="24"/>
          <w:szCs w:val="24"/>
        </w:rPr>
        <w:t xml:space="preserve">2.2 The farmer has no safe place to be wrong</w:t>
      </w:r>
    </w:p>
    <w:p>
      <w:pPr>
        <w:spacing w:after="120" w:line="300"/>
      </w:pPr>
      <w:r>
        <w:rPr>
          <w:rFonts w:ascii="Calibri" w:cs="Calibri" w:eastAsia="Calibri" w:hAnsi="Calibri"/>
          <w:color w:val="241F1A"/>
          <w:sz w:val="21"/>
          <w:szCs w:val="21"/>
        </w:rPr>
        <w:t xml:space="preserve">The second is that the farmer has no safe way to test the advice. On a smallholding, a wrong irrigation or fertilisation decision is not a poor output on a screen; it is a lost season on a holding that had one. The gap between accepting an AI recommendation and living with its consequences is a single growing cycle, and there is no rehearsal space in between.</w:t>
      </w:r>
    </w:p>
    <w:p>
      <w:pPr>
        <w:pStyle w:val="Heading2"/>
        <w:spacing w:after="100" w:before="260"/>
      </w:pPr>
      <w:r>
        <w:rPr>
          <w:rFonts w:ascii="Cambria" w:cs="Cambria" w:eastAsia="Cambria" w:hAnsi="Cambria"/>
          <w:b/>
          <w:bCs/>
          <w:color w:val="40916C"/>
          <w:sz w:val="24"/>
          <w:szCs w:val="24"/>
        </w:rPr>
        <w:t xml:space="preserve">2.3 Why Jazan</w:t>
      </w:r>
    </w:p>
    <w:p>
      <w:pPr>
        <w:spacing w:after="120" w:line="300"/>
      </w:pPr>
      <w:r>
        <w:rPr>
          <w:rFonts w:ascii="Calibri" w:cs="Calibri" w:eastAsia="Calibri" w:hAnsi="Calibri"/>
          <w:color w:val="241F1A"/>
          <w:sz w:val="21"/>
          <w:szCs w:val="21"/>
        </w:rPr>
        <w:t xml:space="preserve">Jazan sharpens both problems. Its five farming systems have genuinely different requirements — a coastal mango block and a highland coffee terrace share a region, a market and a ministry, but almost nothing agronomically. Water is scarce and often saline. Holdings are small and largely family-run. Advice built for one part of the region can be actively harmful in another, which makes a per-farm readiness measure and a per-site simulation more useful here than a single regional model would be.</w:t>
      </w:r>
    </w:p>
    <w:p>
      <w:pPr>
        <w:pStyle w:val="Heading1"/>
        <w:spacing w:after="140" w:before="360"/>
      </w:pPr>
      <w:r>
        <w:rPr>
          <w:rFonts w:ascii="Cambria" w:cs="Cambria" w:eastAsia="Cambria" w:hAnsi="Cambria"/>
          <w:b/>
          <w:bCs/>
          <w:color w:val="1B4332"/>
          <w:sz w:val="30"/>
          <w:szCs w:val="30"/>
        </w:rPr>
        <w:t xml:space="preserve">3. What TerraTwin is</w:t>
      </w:r>
    </w:p>
    <w:p>
      <w:pPr>
        <w:spacing w:after="120" w:line="300"/>
      </w:pPr>
      <w:r>
        <w:rPr>
          <w:rFonts w:ascii="Calibri" w:cs="Calibri" w:eastAsia="Calibri" w:hAnsi="Calibri"/>
          <w:color w:val="241F1A"/>
          <w:sz w:val="21"/>
          <w:szCs w:val="21"/>
        </w:rPr>
        <w:t xml:space="preserve">TerraTwin sits one step before the AI recommendation, and one step around it.</w:t>
      </w:r>
    </w:p>
    <w:p>
      <w:pPr>
        <w:pStyle w:val="ListParagraph"/>
        <w:numPr>
          <w:ilvl w:val="0"/>
          <w:numId w:val="2"/>
        </w:numPr>
        <w:spacing w:after="70" w:line="290"/>
      </w:pPr>
      <w:r>
        <w:rPr>
          <w:rFonts w:ascii="Calibri" w:cs="Calibri" w:eastAsia="Calibri" w:hAnsi="Calibri"/>
          <w:color w:val="241F1A"/>
          <w:sz w:val="21"/>
          <w:szCs w:val="21"/>
        </w:rPr>
        <w:t xml:space="preserve">It measures whether the farm is ready — a nineteen-question scorecard across five weighted dimensions, scored out of 100, that names the weakest dimension as the priority gap.</w:t>
      </w:r>
    </w:p>
    <w:p>
      <w:pPr>
        <w:pStyle w:val="ListParagraph"/>
        <w:numPr>
          <w:ilvl w:val="0"/>
          <w:numId w:val="2"/>
        </w:numPr>
        <w:spacing w:after="70" w:line="290"/>
      </w:pPr>
      <w:r>
        <w:rPr>
          <w:rFonts w:ascii="Calibri" w:cs="Calibri" w:eastAsia="Calibri" w:hAnsi="Calibri"/>
          <w:color w:val="241F1A"/>
          <w:sz w:val="21"/>
          <w:szCs w:val="21"/>
        </w:rPr>
        <w:t xml:space="preserve">It lets the decision be rehearsed — a season simulator in which each weekly decision is pushed through the full Y.3172 pipeline and can be refused by the Policy node, visibly, before it reaches the plant.</w:t>
      </w:r>
    </w:p>
    <w:p>
      <w:pPr>
        <w:pStyle w:val="ListParagraph"/>
        <w:numPr>
          <w:ilvl w:val="0"/>
          <w:numId w:val="2"/>
        </w:numPr>
        <w:spacing w:after="70" w:line="290"/>
      </w:pPr>
      <w:r>
        <w:rPr>
          <w:rFonts w:ascii="Calibri" w:cs="Calibri" w:eastAsia="Calibri" w:hAnsi="Calibri"/>
          <w:color w:val="241F1A"/>
          <w:sz w:val="21"/>
          <w:szCs w:val="21"/>
        </w:rPr>
        <w:t xml:space="preserve">It runs the farm day to day — the plant register, the camera diagnosis, the weather alerts, the forum and the market, so that the readiness score is not a form the farmer fills in but something the farm demonstrates by being used.</w:t>
      </w:r>
    </w:p>
    <w:p>
      <w:pPr>
        <w:spacing w:after="120" w:line="300"/>
      </w:pPr>
      <w:r>
        <w:rPr>
          <w:rFonts w:ascii="Calibri" w:cs="Calibri" w:eastAsia="Calibri" w:hAnsi="Calibri"/>
          <w:color w:val="241F1A"/>
          <w:sz w:val="21"/>
          <w:szCs w:val="21"/>
        </w:rPr>
        <w:t xml:space="preserve">That third point is the design argument of the whole project. Readiness data that a farmer has to assemble specially will be assembled once, for the assessment, and never updated. Readiness data that accumulates because the farmer is already using the tool to decide when to irrigate is the only kind that stays true.</w:t>
      </w:r>
    </w:p>
    <w:p>
      <w:pPr>
        <w:pStyle w:val="Heading1"/>
        <w:spacing w:after="140" w:before="360"/>
      </w:pPr>
      <w:r>
        <w:rPr>
          <w:rFonts w:ascii="Cambria" w:cs="Cambria" w:eastAsia="Cambria" w:hAnsi="Cambria"/>
          <w:b/>
          <w:bCs/>
          <w:color w:val="1B4332"/>
          <w:sz w:val="30"/>
          <w:szCs w:val="30"/>
        </w:rPr>
        <w:t xml:space="preserve">4. The application, screen by screen</w:t>
      </w:r>
    </w:p>
    <w:p>
      <w:pPr>
        <w:pStyle w:val="Heading2"/>
        <w:spacing w:after="100" w:before="260"/>
      </w:pPr>
      <w:r>
        <w:rPr>
          <w:rFonts w:ascii="Cambria" w:cs="Cambria" w:eastAsia="Cambria" w:hAnsi="Cambria"/>
          <w:b/>
          <w:bCs/>
          <w:color w:val="40916C"/>
          <w:sz w:val="24"/>
          <w:szCs w:val="24"/>
        </w:rPr>
        <w:t xml:space="preserve">4.1 Readiness scorecard</w:t>
      </w:r>
    </w:p>
    <w:p>
      <w:pPr>
        <w:spacing w:after="120" w:line="300"/>
      </w:pPr>
      <w:r>
        <w:rPr>
          <w:rFonts w:ascii="Calibri" w:cs="Calibri" w:eastAsia="Calibri" w:hAnsi="Calibri"/>
          <w:color w:val="241F1A"/>
          <w:sz w:val="21"/>
          <w:szCs w:val="21"/>
        </w:rPr>
        <w:t xml:space="preserve">Nineteen questions across five dimensions, weighted to 100 points:</w:t>
      </w:r>
    </w:p>
    <w:p>
      <w:pPr>
        <w:spacing w:after="80"/>
      </w:pPr>
      <w:r>
        <w:t xml:space="preserve"/>
      </w:r>
    </w:p>
    <w:tbl>
      <w:tblPr>
        <w:tblW w:type="dxa" w:w="9400"/>
        <w:tblBorders>
          <w:top w:val="single" w:color="D9CEB8" w:sz="4"/>
          <w:left w:val="none" w:color="FFFFFF" w:sz="0"/>
          <w:bottom w:val="single" w:color="D9CEB8" w:sz="4"/>
          <w:right w:val="none" w:color="FFFFFF" w:sz="0"/>
          <w:insideH w:val="single" w:color="D9CEB8" w:sz="2"/>
          <w:insideV w:val="none" w:color="FFFFFF" w:sz="0"/>
        </w:tblBorders>
      </w:tblPr>
      <w:tblGrid>
        <w:gridCol w:w="2400"/>
        <w:gridCol w:w="1100"/>
        <w:gridCol w:w="5900"/>
      </w:tblGrid>
      <w:tr>
        <w:trPr>
          <w:tblHeader/>
        </w:trPr>
        <w:tc>
          <w:tcPr>
            <w:tcW w:type="dxa" w:w="2400"/>
            <w:shd w:fill="1B4332" w:color="auto" w:val="clear"/>
            <w:tcMar>
              <w:top w:type="dxa" w:w="90"/>
              <w:left w:type="dxa" w:w="120"/>
              <w:bottom w:type="dxa" w:w="90"/>
              <w:right w:type="dxa" w:w="120"/>
            </w:tcMar>
          </w:tcPr>
          <w:p>
            <w:pPr>
              <w:spacing w:after="0" w:line="270"/>
            </w:pPr>
            <w:r>
              <w:rPr>
                <w:rFonts w:ascii="Calibri" w:cs="Calibri" w:eastAsia="Calibri" w:hAnsi="Calibri"/>
                <w:b/>
                <w:bCs/>
                <w:color w:val="FFFFFF"/>
                <w:sz w:val="18"/>
                <w:szCs w:val="18"/>
              </w:rPr>
              <w:t xml:space="preserve">Dimension</w:t>
            </w:r>
          </w:p>
        </w:tc>
        <w:tc>
          <w:tcPr>
            <w:tcW w:type="dxa" w:w="1100"/>
            <w:shd w:fill="1B4332" w:color="auto" w:val="clear"/>
            <w:tcMar>
              <w:top w:type="dxa" w:w="90"/>
              <w:left w:type="dxa" w:w="120"/>
              <w:bottom w:type="dxa" w:w="90"/>
              <w:right w:type="dxa" w:w="120"/>
            </w:tcMar>
          </w:tcPr>
          <w:p>
            <w:pPr>
              <w:spacing w:after="0" w:line="270"/>
            </w:pPr>
            <w:r>
              <w:rPr>
                <w:rFonts w:ascii="Calibri" w:cs="Calibri" w:eastAsia="Calibri" w:hAnsi="Calibri"/>
                <w:b/>
                <w:bCs/>
                <w:color w:val="FFFFFF"/>
                <w:sz w:val="18"/>
                <w:szCs w:val="18"/>
              </w:rPr>
              <w:t xml:space="preserve">Max</w:t>
            </w:r>
          </w:p>
        </w:tc>
        <w:tc>
          <w:tcPr>
            <w:tcW w:type="dxa" w:w="5900"/>
            <w:shd w:fill="1B4332" w:color="auto" w:val="clear"/>
            <w:tcMar>
              <w:top w:type="dxa" w:w="90"/>
              <w:left w:type="dxa" w:w="120"/>
              <w:bottom w:type="dxa" w:w="90"/>
              <w:right w:type="dxa" w:w="120"/>
            </w:tcMar>
          </w:tcPr>
          <w:p>
            <w:pPr>
              <w:spacing w:after="0" w:line="270"/>
            </w:pPr>
            <w:r>
              <w:rPr>
                <w:rFonts w:ascii="Calibri" w:cs="Calibri" w:eastAsia="Calibri" w:hAnsi="Calibri"/>
                <w:b/>
                <w:bCs/>
                <w:color w:val="FFFFFF"/>
                <w:sz w:val="18"/>
                <w:szCs w:val="18"/>
              </w:rPr>
              <w:t xml:space="preserve">What it measures</w:t>
            </w:r>
          </w:p>
        </w:tc>
      </w:tr>
      <w:tr>
        <w:tc>
          <w:tcPr>
            <w:tcW w:type="dxa" w:w="24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Data readiness</w:t>
            </w:r>
          </w:p>
        </w:tc>
        <w:tc>
          <w:tcPr>
            <w:tcW w:type="dxa" w:w="11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30</w:t>
            </w:r>
          </w:p>
        </w:tc>
        <w:tc>
          <w:tcPr>
            <w:tcW w:type="dxa" w:w="59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Availability, granularity and history of farm data — the single largest weight, because nothing downstream works without it.</w:t>
            </w:r>
          </w:p>
        </w:tc>
      </w:tr>
      <w:tr>
        <w:tc>
          <w:tcPr>
            <w:tcW w:type="dxa" w:w="24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Infrastructure readiness</w:t>
            </w:r>
          </w:p>
        </w:tc>
        <w:tc>
          <w:tcPr>
            <w:tcW w:type="dxa" w:w="11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20</w:t>
            </w:r>
          </w:p>
        </w:tc>
        <w:tc>
          <w:tcPr>
            <w:tcW w:type="dxa" w:w="59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Connectivity, sensors, compute access and power in the field.</w:t>
            </w:r>
          </w:p>
        </w:tc>
      </w:tr>
      <w:tr>
        <w:tc>
          <w:tcPr>
            <w:tcW w:type="dxa" w:w="24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Governance readiness</w:t>
            </w:r>
          </w:p>
        </w:tc>
        <w:tc>
          <w:tcPr>
            <w:tcW w:type="dxa" w:w="11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20</w:t>
            </w:r>
          </w:p>
        </w:tc>
        <w:tc>
          <w:tcPr>
            <w:tcW w:type="dxa" w:w="59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Data-handling practice, consent, and awareness of the PDPL and SDAIA guidance.</w:t>
            </w:r>
          </w:p>
        </w:tc>
      </w:tr>
      <w:tr>
        <w:tc>
          <w:tcPr>
            <w:tcW w:type="dxa" w:w="24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Skills readiness</w:t>
            </w:r>
          </w:p>
        </w:tc>
        <w:tc>
          <w:tcPr>
            <w:tcW w:type="dxa" w:w="11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15</w:t>
            </w:r>
          </w:p>
        </w:tc>
        <w:tc>
          <w:tcPr>
            <w:tcW w:type="dxa" w:w="59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Digital literacy on the holding and access to technical support.</w:t>
            </w:r>
          </w:p>
        </w:tc>
      </w:tr>
      <w:tr>
        <w:tc>
          <w:tcPr>
            <w:tcW w:type="dxa" w:w="24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Sandbox readiness</w:t>
            </w:r>
          </w:p>
        </w:tc>
        <w:tc>
          <w:tcPr>
            <w:tcW w:type="dxa" w:w="11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15</w:t>
            </w:r>
          </w:p>
        </w:tc>
        <w:tc>
          <w:tcPr>
            <w:tcW w:type="dxa" w:w="59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Whether the farm can trial an AI-informed decision safely before committing to it.</w:t>
            </w:r>
          </w:p>
        </w:tc>
      </w:tr>
    </w:tbl>
    <w:p>
      <w:pPr>
        <w:spacing w:after="160"/>
      </w:pPr>
      <w:r>
        <w:t xml:space="preserve"/>
      </w:r>
    </w:p>
    <w:p>
      <w:pPr>
        <w:spacing w:after="120" w:line="300"/>
      </w:pPr>
      <w:r>
        <w:rPr>
          <w:rFonts w:ascii="Calibri" w:cs="Calibri" w:eastAsia="Calibri" w:hAnsi="Calibri"/>
          <w:color w:val="241F1A"/>
          <w:sz w:val="21"/>
          <w:szCs w:val="21"/>
        </w:rPr>
        <w:t xml:space="preserve">Answers save as they are given and feed the dashboard immediately. The weakest dimension is surfaced as the priority gap with a plain-language explanation, so the output of the assessment is a next action rather than a grade.</w:t>
      </w:r>
    </w:p>
    <w:p>
      <w:pPr>
        <w:pStyle w:val="Heading2"/>
        <w:spacing w:after="100" w:before="260"/>
      </w:pPr>
      <w:r>
        <w:rPr>
          <w:rFonts w:ascii="Cambria" w:cs="Cambria" w:eastAsia="Cambria" w:hAnsi="Cambria"/>
          <w:b/>
          <w:bCs/>
          <w:color w:val="40916C"/>
          <w:sz w:val="24"/>
          <w:szCs w:val="24"/>
        </w:rPr>
        <w:t xml:space="preserve">4.2 Decision sandbox</w:t>
      </w:r>
    </w:p>
    <w:p>
      <w:pPr>
        <w:spacing w:after="120" w:line="300"/>
      </w:pPr>
      <w:r>
        <w:rPr>
          <w:rFonts w:ascii="Calibri" w:cs="Calibri" w:eastAsia="Calibri" w:hAnsi="Calibri"/>
          <w:color w:val="241F1A"/>
          <w:sz w:val="21"/>
          <w:szCs w:val="21"/>
        </w:rPr>
        <w:t xml:space="preserve">The sandbox is a playable season. The farmer chooses the sub-region, the soil available in that sub-region, the season, and the character of the year — normal, dry, wet or humid — and then plants one of three crops. Site is chosen before seed, deliberately: you cannot move the land, so the land decides what is sensible to plant in it.</w:t>
      </w:r>
    </w:p>
    <w:p>
      <w:pPr>
        <w:spacing w:after="120" w:line="300"/>
      </w:pPr>
      <w:r>
        <w:rPr>
          <w:rFonts w:ascii="Calibri" w:cs="Calibri" w:eastAsia="Calibri" w:hAnsi="Calibri"/>
          <w:color w:val="241F1A"/>
          <w:sz w:val="21"/>
          <w:szCs w:val="21"/>
        </w:rPr>
        <w:t xml:space="preserve">From there the season runs one week at a time. Health, growth, soil moisture, nutrients, pest pressure and salinity all move each week according to the weather rolled for that week and the decision taken: irrigate, fertilise, treat for pests, inspect, or hold. One decision per week, which is the real constraint on a small holding.</w:t>
      </w:r>
    </w:p>
    <w:p>
      <w:pPr>
        <w:spacing w:after="120" w:line="300"/>
      </w:pPr>
      <w:r>
        <w:rPr>
          <w:rFonts w:ascii="Calibri" w:cs="Calibri" w:eastAsia="Calibri" w:hAnsi="Calibri"/>
          <w:color w:val="241F1A"/>
          <w:sz w:val="21"/>
          <w:szCs w:val="21"/>
        </w:rPr>
        <w:t xml:space="preserve">The distinguishing feature is that the pipeline is visible. Each decision lights the seven Y.3172 nodes in sequence across the screen, and when the Policy node refuses a request — a fourth fertiliser application in a season, irrigation into already-saturated soil — that node turns red and states why. The standard stops being a table in a document and becomes something the farmer watches happen.</w:t>
      </w:r>
    </w:p>
    <w:p>
      <w:pPr>
        <w:spacing w:after="120" w:line="300"/>
      </w:pPr>
      <w:r>
        <w:rPr>
          <w:rFonts w:ascii="Calibri" w:cs="Calibri" w:eastAsia="Calibri" w:hAnsi="Calibri"/>
          <w:color w:val="241F1A"/>
          <w:sz w:val="21"/>
          <w:szCs w:val="21"/>
        </w:rPr>
        <w:t xml:space="preserve">An optional agent will suggest one action, checked against the same Model and Policy nodes. It suggests; the farmer still chooses. That asymmetry is intentional and is the same one the readiness scorecard is measuring for.</w:t>
      </w:r>
    </w:p>
    <w:p>
      <w:pPr>
        <w:pStyle w:val="Heading2"/>
        <w:spacing w:after="100" w:before="260"/>
      </w:pPr>
      <w:r>
        <w:rPr>
          <w:rFonts w:ascii="Cambria" w:cs="Cambria" w:eastAsia="Cambria" w:hAnsi="Cambria"/>
          <w:b/>
          <w:bCs/>
          <w:color w:val="40916C"/>
          <w:sz w:val="24"/>
          <w:szCs w:val="24"/>
        </w:rPr>
        <w:t xml:space="preserve">4.3 Plant register and scheduling</w:t>
      </w:r>
    </w:p>
    <w:p>
      <w:pPr>
        <w:spacing w:after="120" w:line="300"/>
      </w:pPr>
      <w:r>
        <w:rPr>
          <w:rFonts w:ascii="Calibri" w:cs="Calibri" w:eastAsia="Calibri" w:hAnsi="Calibri"/>
          <w:color w:val="241F1A"/>
          <w:sz w:val="21"/>
          <w:szCs w:val="21"/>
        </w:rPr>
        <w:t xml:space="preserve">The farmer registers what is actually growing: crop, plot, planting date, an optional photograph, and an irrigation and fertilisation interval per plant. Fifteen Jazan crops ship with sensible defaults for interval and water volume — mango, Khawlani coffee, banana, papaya, sorghum, sesame, pearl millet, date palm, citrus, guava, tomato, okra, cucumber and fodder alfalfa among them.</w:t>
      </w:r>
    </w:p>
    <w:p>
      <w:pPr>
        <w:spacing w:after="120" w:line="300"/>
      </w:pPr>
      <w:r>
        <w:rPr>
          <w:rFonts w:ascii="Calibri" w:cs="Calibri" w:eastAsia="Calibri" w:hAnsi="Calibri"/>
          <w:color w:val="241F1A"/>
          <w:sz w:val="21"/>
          <w:szCs w:val="21"/>
        </w:rPr>
        <w:t xml:space="preserve">From that the application keeps a live calendar: each plant shows when its next irrigation and fertilisation falls due, overdue items are marked, and logging an irrigation restarts the clock. This is the layer that turns a one-off assessment into a continuous record — which is precisely the Data readiness dimension improving in the background.</w:t>
      </w:r>
    </w:p>
    <w:p>
      <w:pPr>
        <w:pStyle w:val="Heading2"/>
        <w:spacing w:after="100" w:before="260"/>
      </w:pPr>
      <w:r>
        <w:rPr>
          <w:rFonts w:ascii="Cambria" w:cs="Cambria" w:eastAsia="Cambria" w:hAnsi="Cambria"/>
          <w:b/>
          <w:bCs/>
          <w:color w:val="40916C"/>
          <w:sz w:val="24"/>
          <w:szCs w:val="24"/>
        </w:rPr>
        <w:t xml:space="preserve">4.4 Plant doctor — the AI camera</w:t>
      </w:r>
    </w:p>
    <w:p>
      <w:pPr>
        <w:spacing w:after="120" w:line="300"/>
      </w:pPr>
      <w:r>
        <w:rPr>
          <w:rFonts w:ascii="Calibri" w:cs="Calibri" w:eastAsia="Calibri" w:hAnsi="Calibri"/>
          <w:color w:val="241F1A"/>
          <w:sz w:val="21"/>
          <w:szCs w:val="21"/>
        </w:rPr>
        <w:t xml:space="preserve">The farmer points the camera at a leaf, a fruit or a whole plant, or uploads a photograph from the phone. With a Google Gemini key configured, the image is sent to Gemini vision with a prompt that establishes the Jazan context — humid coastal conditions, saline irrigation water, highland terraces — and returns structured JSON: species, life stage, a health score out of 100, a status band, a diagnosis, likely causes, and concrete steps to take that week.</w:t>
      </w:r>
    </w:p>
    <w:p>
      <w:pPr>
        <w:spacing w:after="120" w:line="300"/>
      </w:pPr>
      <w:r>
        <w:rPr>
          <w:rFonts w:ascii="Calibri" w:cs="Calibri" w:eastAsia="Calibri" w:hAnsi="Calibri"/>
          <w:color w:val="241F1A"/>
          <w:sz w:val="21"/>
          <w:szCs w:val="21"/>
        </w:rPr>
        <w:t xml:space="preserve">With no key, the application falls back to an on-device analysis that samples the image and measures healthy chlorophyll green against chlorotic yellowing and necrotic browning, producing a health score and generic but genuinely applicable guidance. It is coarser, and it is labelled as such — but it runs with no network, no account and no cost, which is the difference between a tool a smallholder can use and a demonstration they can watch.</w:t>
      </w:r>
    </w:p>
    <w:p>
      <w:pPr>
        <w:spacing w:after="120" w:line="300"/>
      </w:pPr>
      <w:r>
        <w:rPr>
          <w:rFonts w:ascii="Calibri" w:cs="Calibri" w:eastAsia="Calibri" w:hAnsi="Calibri"/>
          <w:color w:val="241F1A"/>
          <w:sz w:val="21"/>
          <w:szCs w:val="21"/>
        </w:rPr>
        <w:t xml:space="preserve">Scans attach to a registered plant, so a plant carries its own diagnostic history and can be watched improving, or not, across weeks.</w:t>
      </w:r>
    </w:p>
    <w:p>
      <w:pPr>
        <w:pStyle w:val="Heading2"/>
        <w:spacing w:after="100" w:before="260"/>
      </w:pPr>
      <w:r>
        <w:rPr>
          <w:rFonts w:ascii="Cambria" w:cs="Cambria" w:eastAsia="Cambria" w:hAnsi="Cambria"/>
          <w:b/>
          <w:bCs/>
          <w:color w:val="40916C"/>
          <w:sz w:val="24"/>
          <w:szCs w:val="24"/>
        </w:rPr>
        <w:t xml:space="preserve">4.5 Weather alerts</w:t>
      </w:r>
    </w:p>
    <w:p>
      <w:pPr>
        <w:spacing w:after="120" w:line="300"/>
      </w:pPr>
      <w:r>
        <w:rPr>
          <w:rFonts w:ascii="Calibri" w:cs="Calibri" w:eastAsia="Calibri" w:hAnsi="Calibri"/>
          <w:color w:val="241F1A"/>
          <w:sz w:val="21"/>
          <w:szCs w:val="21"/>
        </w:rPr>
        <w:t xml:space="preserve">A seven-day forecast for the chosen sub-region, read against what is planted. The engine does not present weather for its own sake; it raises only the conditions that change a decision:</w:t>
      </w:r>
    </w:p>
    <w:p>
      <w:pPr>
        <w:pStyle w:val="ListParagraph"/>
        <w:numPr>
          <w:ilvl w:val="0"/>
          <w:numId w:val="3"/>
        </w:numPr>
        <w:spacing w:after="70" w:line="290"/>
      </w:pPr>
      <w:r>
        <w:rPr>
          <w:rFonts w:ascii="Calibri" w:cs="Calibri" w:eastAsia="Calibri" w:hAnsi="Calibri"/>
          <w:color w:val="241F1A"/>
          <w:sz w:val="21"/>
          <w:szCs w:val="21"/>
        </w:rPr>
        <w:t xml:space="preserve">Heat stress above 42 °C, where transpiration outruns root supply and flowering crops abort fruit set.</w:t>
      </w:r>
    </w:p>
    <w:p>
      <w:pPr>
        <w:pStyle w:val="ListParagraph"/>
        <w:numPr>
          <w:ilvl w:val="0"/>
          <w:numId w:val="3"/>
        </w:numPr>
        <w:spacing w:after="70" w:line="290"/>
      </w:pPr>
      <w:r>
        <w:rPr>
          <w:rFonts w:ascii="Calibri" w:cs="Calibri" w:eastAsia="Calibri" w:hAnsi="Calibri"/>
          <w:color w:val="241F1A"/>
          <w:sz w:val="21"/>
          <w:szCs w:val="21"/>
        </w:rPr>
        <w:t xml:space="preserve">Sharp day-to-day temperature swings of six degrees or more, which crack fruit skin, shock transplants and trigger flower drop.</w:t>
      </w:r>
    </w:p>
    <w:p>
      <w:pPr>
        <w:pStyle w:val="ListParagraph"/>
        <w:numPr>
          <w:ilvl w:val="0"/>
          <w:numId w:val="3"/>
        </w:numPr>
        <w:spacing w:after="70" w:line="290"/>
      </w:pPr>
      <w:r>
        <w:rPr>
          <w:rFonts w:ascii="Calibri" w:cs="Calibri" w:eastAsia="Calibri" w:hAnsi="Calibri"/>
          <w:color w:val="241F1A"/>
          <w:sz w:val="21"/>
          <w:szCs w:val="21"/>
        </w:rPr>
        <w:t xml:space="preserve">Incoming rain worth skipping an irrigation for, quantified in millimetres and probability.</w:t>
      </w:r>
    </w:p>
    <w:p>
      <w:pPr>
        <w:pStyle w:val="ListParagraph"/>
        <w:numPr>
          <w:ilvl w:val="0"/>
          <w:numId w:val="3"/>
        </w:numPr>
        <w:spacing w:after="70" w:line="290"/>
      </w:pPr>
      <w:r>
        <w:rPr>
          <w:rFonts w:ascii="Calibri" w:cs="Calibri" w:eastAsia="Calibri" w:hAnsi="Calibri"/>
          <w:color w:val="241F1A"/>
          <w:sz w:val="21"/>
          <w:szCs w:val="21"/>
        </w:rPr>
        <w:t xml:space="preserve">Humid spells above 70% with warm nights, which build anthracnose on mango and sigatoka on banana.</w:t>
      </w:r>
    </w:p>
    <w:p>
      <w:pPr>
        <w:pStyle w:val="ListParagraph"/>
        <w:numPr>
          <w:ilvl w:val="0"/>
          <w:numId w:val="3"/>
        </w:numPr>
        <w:spacing w:after="70" w:line="290"/>
      </w:pPr>
      <w:r>
        <w:rPr>
          <w:rFonts w:ascii="Calibri" w:cs="Calibri" w:eastAsia="Calibri" w:hAnsi="Calibri"/>
          <w:color w:val="241F1A"/>
          <w:sz w:val="21"/>
          <w:szCs w:val="21"/>
        </w:rPr>
        <w:t xml:space="preserve">Wind above 35 km/h, which strips blossom, tears banana leaves and carries spray off target.</w:t>
      </w:r>
    </w:p>
    <w:p>
      <w:pPr>
        <w:pStyle w:val="ListParagraph"/>
        <w:numPr>
          <w:ilvl w:val="0"/>
          <w:numId w:val="3"/>
        </w:numPr>
        <w:spacing w:after="70" w:line="290"/>
      </w:pPr>
      <w:r>
        <w:rPr>
          <w:rFonts w:ascii="Calibri" w:cs="Calibri" w:eastAsia="Calibri" w:hAnsi="Calibri"/>
          <w:color w:val="241F1A"/>
          <w:sz w:val="21"/>
          <w:szCs w:val="21"/>
        </w:rPr>
        <w:t xml:space="preserve">Cold highland nights below 12 °C on the Fifa and Al-Reeth terraces.</w:t>
      </w:r>
    </w:p>
    <w:p>
      <w:pPr>
        <w:spacing w:after="160" w:line="300"/>
      </w:pPr>
      <w:r>
        <w:rPr>
          <w:rFonts w:ascii="Calibri" w:cs="Calibri" w:eastAsia="Calibri" w:hAnsi="Calibri"/>
          <w:color w:val="241F1A"/>
          <w:sz w:val="21"/>
          <w:szCs w:val="21"/>
        </w:rPr>
        <w:t xml:space="preserve">Each alert carries the action, not only the number. One button pushes irrigation dates past a forecast rain event and counts the litres saved — a small feature that makes water efficiency measurable at the level of the individual holding rather than the national statistic.</w:t>
      </w:r>
    </w:p>
    <w:p>
      <w:pPr>
        <w:pStyle w:val="Heading2"/>
        <w:spacing w:after="100" w:before="260"/>
      </w:pPr>
      <w:r>
        <w:rPr>
          <w:rFonts w:ascii="Cambria" w:cs="Cambria" w:eastAsia="Cambria" w:hAnsi="Cambria"/>
          <w:b/>
          <w:bCs/>
          <w:color w:val="40916C"/>
          <w:sz w:val="24"/>
          <w:szCs w:val="24"/>
        </w:rPr>
        <w:t xml:space="preserve">4.6 Season calendar and reminders</w:t>
      </w:r>
    </w:p>
    <w:p>
      <w:pPr>
        <w:spacing w:after="120" w:line="300"/>
      </w:pPr>
      <w:r>
        <w:rPr>
          <w:rFonts w:ascii="Calibri" w:cs="Calibri" w:eastAsia="Calibri" w:hAnsi="Calibri"/>
          <w:color w:val="241F1A"/>
          <w:sz w:val="21"/>
          <w:szCs w:val="21"/>
        </w:rPr>
        <w:t xml:space="preserve">The current Tihama season, what is worth sowing in it, and every reminder the farm has — plant schedules plus the farmer's own notes — ordered by what is closest to falling behind rather than by date created.</w:t>
      </w:r>
    </w:p>
    <w:p>
      <w:pPr>
        <w:pStyle w:val="Heading2"/>
        <w:spacing w:after="100" w:before="260"/>
      </w:pPr>
      <w:r>
        <w:rPr>
          <w:rFonts w:ascii="Cambria" w:cs="Cambria" w:eastAsia="Cambria" w:hAnsi="Cambria"/>
          <w:b/>
          <w:bCs/>
          <w:color w:val="40916C"/>
          <w:sz w:val="24"/>
          <w:szCs w:val="24"/>
        </w:rPr>
        <w:t xml:space="preserve">4.7 Farmers' forum</w:t>
      </w:r>
    </w:p>
    <w:p>
      <w:pPr>
        <w:spacing w:after="120" w:line="300"/>
      </w:pPr>
      <w:r>
        <w:rPr>
          <w:rFonts w:ascii="Calibri" w:cs="Calibri" w:eastAsia="Calibri" w:hAnsi="Calibri"/>
          <w:color w:val="241F1A"/>
          <w:sz w:val="21"/>
          <w:szCs w:val="21"/>
        </w:rPr>
        <w:t xml:space="preserve">Posts in text, photograph, or recorded voice note, tagged by subject, searchable, with likes and replies. Voice is not a decorative feature here: a significant share of the most experienced growers in the region would rather talk than type, and a tool that requires typing quietly excludes exactly the knowledge it most needs. A diagnosis from the Plant doctor can be pushed straight into a draft post with the photograph attached, which turns a low-confidence machine answer into a question for people who have seen the same thing on the same soil.</w:t>
      </w:r>
    </w:p>
    <w:p>
      <w:pPr>
        <w:pStyle w:val="Heading2"/>
        <w:spacing w:after="100" w:before="260"/>
      </w:pPr>
      <w:r>
        <w:rPr>
          <w:rFonts w:ascii="Cambria" w:cs="Cambria" w:eastAsia="Cambria" w:hAnsi="Cambria"/>
          <w:b/>
          <w:bCs/>
          <w:color w:val="40916C"/>
          <w:sz w:val="24"/>
          <w:szCs w:val="24"/>
        </w:rPr>
        <w:t xml:space="preserve">4.8 Market</w:t>
      </w:r>
    </w:p>
    <w:p>
      <w:pPr>
        <w:spacing w:after="120" w:line="300"/>
      </w:pPr>
      <w:r>
        <w:rPr>
          <w:rFonts w:ascii="Calibri" w:cs="Calibri" w:eastAsia="Calibri" w:hAnsi="Calibri"/>
          <w:color w:val="241F1A"/>
          <w:sz w:val="21"/>
          <w:szCs w:val="21"/>
        </w:rPr>
        <w:t xml:space="preserve">Seed, seedlings, plants, inputs and farm services priced in riyals, filtered by category and searchable, each with the seller's own contact. Any account can publish a listing. Requests are recorded with the seller's number; nothing is charged inside the application and no intermediary is inserted between the two parties.</w:t>
      </w:r>
    </w:p>
    <w:p>
      <w:pPr>
        <w:pStyle w:val="Heading2"/>
        <w:spacing w:after="100" w:before="260"/>
      </w:pPr>
      <w:r>
        <w:rPr>
          <w:rFonts w:ascii="Cambria" w:cs="Cambria" w:eastAsia="Cambria" w:hAnsi="Cambria"/>
          <w:b/>
          <w:bCs/>
          <w:color w:val="40916C"/>
          <w:sz w:val="24"/>
          <w:szCs w:val="24"/>
        </w:rPr>
        <w:t xml:space="preserve">4.9 Farmy, the assistant</w:t>
      </w:r>
    </w:p>
    <w:p>
      <w:pPr>
        <w:spacing w:after="120" w:line="300"/>
      </w:pPr>
      <w:r>
        <w:rPr>
          <w:rFonts w:ascii="Calibri" w:cs="Calibri" w:eastAsia="Calibri" w:hAnsi="Calibri"/>
          <w:color w:val="241F1A"/>
          <w:sz w:val="21"/>
          <w:szCs w:val="21"/>
        </w:rPr>
        <w:t xml:space="preserve">A retrieval assistant over a knowledge base of roughly five hundred agricultural topics — crops, trees, soils, water, irrigation, pests, diseases, nutrition, propagation, livestock, regional climate — together with the application itself and the Y.3172 standard. It answers fully offline from the built-in corpus. With a Gemini key it answers through the model, with the same corpus supplied as grounding context, so the model is constrained to the project's own verified material rather than free-associating.</w:t>
      </w:r>
    </w:p>
    <w:p>
      <w:pPr>
        <w:pStyle w:val="Heading1"/>
        <w:spacing w:after="140" w:before="360"/>
      </w:pPr>
      <w:r>
        <w:rPr>
          <w:rFonts w:ascii="Cambria" w:cs="Cambria" w:eastAsia="Cambria" w:hAnsi="Cambria"/>
          <w:b/>
          <w:bCs/>
          <w:color w:val="1B4332"/>
          <w:sz w:val="30"/>
          <w:szCs w:val="30"/>
        </w:rPr>
        <w:t xml:space="preserve">5. Architecture — ITU-T Y.3172</w:t>
      </w:r>
    </w:p>
    <w:p>
      <w:pPr>
        <w:spacing w:after="120" w:line="300"/>
      </w:pPr>
      <w:r>
        <w:rPr>
          <w:rFonts w:ascii="Calibri" w:cs="Calibri" w:eastAsia="Calibri" w:hAnsi="Calibri"/>
          <w:color w:val="241F1A"/>
          <w:sz w:val="21"/>
          <w:szCs w:val="21"/>
        </w:rPr>
        <w:t xml:space="preserve">Recommendation ITU-T Y.3172 defines an architectural framework for machine learning in future networks. Its clause 8.1 pipeline, its Machine Learning Function Orchestrator, and its ML Sandbox are implemented here as running code. Every sandbox decision traverses the full pipeline:</w:t>
      </w:r>
    </w:p>
    <w:p>
      <w:pPr>
        <w:spacing w:after="80"/>
      </w:pPr>
      <w:r>
        <w:t xml:space="preserve"/>
      </w:r>
    </w:p>
    <w:tbl>
      <w:tblPr>
        <w:tblW w:type="dxa" w:w="9400"/>
        <w:tblBorders>
          <w:top w:val="single" w:color="D9CEB8" w:sz="4"/>
          <w:left w:val="none" w:color="FFFFFF" w:sz="0"/>
          <w:bottom w:val="single" w:color="D9CEB8" w:sz="4"/>
          <w:right w:val="none" w:color="FFFFFF" w:sz="0"/>
          <w:insideH w:val="single" w:color="D9CEB8" w:sz="2"/>
          <w:insideV w:val="none" w:color="FFFFFF" w:sz="0"/>
        </w:tblBorders>
      </w:tblPr>
      <w:tblGrid>
        <w:gridCol w:w="1500"/>
        <w:gridCol w:w="3300"/>
        <w:gridCol w:w="4600"/>
      </w:tblGrid>
      <w:tr>
        <w:trPr>
          <w:tblHeader/>
        </w:trPr>
        <w:tc>
          <w:tcPr>
            <w:tcW w:type="dxa" w:w="1500"/>
            <w:shd w:fill="1B4332" w:color="auto" w:val="clear"/>
            <w:tcMar>
              <w:top w:type="dxa" w:w="90"/>
              <w:left w:type="dxa" w:w="120"/>
              <w:bottom w:type="dxa" w:w="90"/>
              <w:right w:type="dxa" w:w="120"/>
            </w:tcMar>
          </w:tcPr>
          <w:p>
            <w:pPr>
              <w:spacing w:after="0" w:line="270"/>
            </w:pPr>
            <w:r>
              <w:rPr>
                <w:rFonts w:ascii="Calibri" w:cs="Calibri" w:eastAsia="Calibri" w:hAnsi="Calibri"/>
                <w:b/>
                <w:bCs/>
                <w:color w:val="FFFFFF"/>
                <w:sz w:val="18"/>
                <w:szCs w:val="18"/>
              </w:rPr>
              <w:t xml:space="preserve">Node</w:t>
            </w:r>
          </w:p>
        </w:tc>
        <w:tc>
          <w:tcPr>
            <w:tcW w:type="dxa" w:w="3300"/>
            <w:shd w:fill="1B4332" w:color="auto" w:val="clear"/>
            <w:tcMar>
              <w:top w:type="dxa" w:w="90"/>
              <w:left w:type="dxa" w:w="120"/>
              <w:bottom w:type="dxa" w:w="90"/>
              <w:right w:type="dxa" w:w="120"/>
            </w:tcMar>
          </w:tcPr>
          <w:p>
            <w:pPr>
              <w:spacing w:after="0" w:line="270"/>
            </w:pPr>
            <w:r>
              <w:rPr>
                <w:rFonts w:ascii="Calibri" w:cs="Calibri" w:eastAsia="Calibri" w:hAnsi="Calibri"/>
                <w:b/>
                <w:bCs/>
                <w:color w:val="FFFFFF"/>
                <w:sz w:val="18"/>
                <w:szCs w:val="18"/>
              </w:rPr>
              <w:t xml:space="preserve">Y.3172 role</w:t>
            </w:r>
          </w:p>
        </w:tc>
        <w:tc>
          <w:tcPr>
            <w:tcW w:type="dxa" w:w="4600"/>
            <w:shd w:fill="1B4332" w:color="auto" w:val="clear"/>
            <w:tcMar>
              <w:top w:type="dxa" w:w="90"/>
              <w:left w:type="dxa" w:w="120"/>
              <w:bottom w:type="dxa" w:w="90"/>
              <w:right w:type="dxa" w:w="120"/>
            </w:tcMar>
          </w:tcPr>
          <w:p>
            <w:pPr>
              <w:spacing w:after="0" w:line="270"/>
            </w:pPr>
            <w:r>
              <w:rPr>
                <w:rFonts w:ascii="Calibri" w:cs="Calibri" w:eastAsia="Calibri" w:hAnsi="Calibri"/>
                <w:b/>
                <w:bCs/>
                <w:color w:val="FFFFFF"/>
                <w:sz w:val="18"/>
                <w:szCs w:val="18"/>
              </w:rPr>
              <w:t xml:space="preserve">TerraTwin implementation</w:t>
            </w:r>
          </w:p>
        </w:tc>
      </w:tr>
      <w:tr>
        <w:tc>
          <w:tcPr>
            <w:tcW w:type="dxa" w:w="15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SRC</w:t>
            </w:r>
          </w:p>
        </w:tc>
        <w:tc>
          <w:tcPr>
            <w:tcW w:type="dxa" w:w="33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Data source</w:t>
            </w:r>
          </w:p>
        </w:tc>
        <w:tc>
          <w:tcPr>
            <w:tcW w:type="dxa" w:w="46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Farm profile, sub-region, soil, season, weather pattern and current plant state.</w:t>
            </w:r>
          </w:p>
        </w:tc>
      </w:tr>
      <w:tr>
        <w:tc>
          <w:tcPr>
            <w:tcW w:type="dxa" w:w="15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C</w:t>
            </w:r>
          </w:p>
        </w:tc>
        <w:tc>
          <w:tcPr>
            <w:tcW w:type="dxa" w:w="33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Collector</w:t>
            </w:r>
          </w:p>
        </w:tc>
        <w:tc>
          <w:tcPr>
            <w:tcW w:type="dxa" w:w="46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Weekly capture of health, growth, moisture, nutrients, pest pressure and salinity.</w:t>
            </w:r>
          </w:p>
        </w:tc>
      </w:tr>
      <w:tr>
        <w:tc>
          <w:tcPr>
            <w:tcW w:type="dxa" w:w="15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PP</w:t>
            </w:r>
          </w:p>
        </w:tc>
        <w:tc>
          <w:tcPr>
            <w:tcW w:type="dxa" w:w="33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Pre-processor</w:t>
            </w:r>
          </w:p>
        </w:tc>
        <w:tc>
          <w:tcPr>
            <w:tcW w:type="dxa" w:w="46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Normalisation of the captured state against the crop's climate and moisture envelope.</w:t>
            </w:r>
          </w:p>
        </w:tc>
      </w:tr>
      <w:tr>
        <w:tc>
          <w:tcPr>
            <w:tcW w:type="dxa" w:w="15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M</w:t>
            </w:r>
          </w:p>
        </w:tc>
        <w:tc>
          <w:tcPr>
            <w:tcW w:type="dxa" w:w="33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Model</w:t>
            </w:r>
          </w:p>
        </w:tc>
        <w:tc>
          <w:tcPr>
            <w:tcW w:type="dxa" w:w="46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Rule-based growth, stress and pest engine producing the projected weekly outcome.</w:t>
            </w:r>
          </w:p>
        </w:tc>
      </w:tr>
      <w:tr>
        <w:tc>
          <w:tcPr>
            <w:tcW w:type="dxa" w:w="15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P</w:t>
            </w:r>
          </w:p>
        </w:tc>
        <w:tc>
          <w:tcPr>
            <w:tcW w:type="dxa" w:w="33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Policy</w:t>
            </w:r>
          </w:p>
        </w:tc>
        <w:tc>
          <w:tcPr>
            <w:tcW w:type="dxa" w:w="46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Rule checks that can refuse a decision before it reaches the plant, with the reason stated.</w:t>
            </w:r>
          </w:p>
        </w:tc>
      </w:tr>
      <w:tr>
        <w:tc>
          <w:tcPr>
            <w:tcW w:type="dxa" w:w="15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D</w:t>
            </w:r>
          </w:p>
        </w:tc>
        <w:tc>
          <w:tcPr>
            <w:tcW w:type="dxa" w:w="33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Distributor</w:t>
            </w:r>
          </w:p>
        </w:tc>
        <w:tc>
          <w:tcPr>
            <w:tcW w:type="dxa" w:w="46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Delivery of the outcome and the explanation to the interface.</w:t>
            </w:r>
          </w:p>
        </w:tc>
      </w:tr>
      <w:tr>
        <w:tc>
          <w:tcPr>
            <w:tcW w:type="dxa" w:w="15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SINK</w:t>
            </w:r>
          </w:p>
        </w:tc>
        <w:tc>
          <w:tcPr>
            <w:tcW w:type="dxa" w:w="33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Sink</w:t>
            </w:r>
          </w:p>
        </w:tc>
        <w:tc>
          <w:tcPr>
            <w:tcW w:type="dxa" w:w="46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Season log and run history, retained as the farm's decision record.</w:t>
            </w:r>
          </w:p>
        </w:tc>
      </w:tr>
      <w:tr>
        <w:tc>
          <w:tcPr>
            <w:tcW w:type="dxa" w:w="15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MLFO</w:t>
            </w:r>
          </w:p>
        </w:tc>
        <w:tc>
          <w:tcPr>
            <w:tcW w:type="dxa" w:w="33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Orchestrator</w:t>
            </w:r>
          </w:p>
        </w:tc>
        <w:tc>
          <w:tcPr>
            <w:tcW w:type="dxa" w:w="4600"/>
            <w:shd w:fill="F2F6EC" w:color="auto" w:val="clear"/>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Sequencing of the nodes and management of the sandbox run.</w:t>
            </w:r>
          </w:p>
        </w:tc>
      </w:tr>
      <w:tr>
        <w:tc>
          <w:tcPr>
            <w:tcW w:type="dxa" w:w="15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Sandbox</w:t>
            </w:r>
          </w:p>
        </w:tc>
        <w:tc>
          <w:tcPr>
            <w:tcW w:type="dxa" w:w="33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ML Sandbox</w:t>
            </w:r>
          </w:p>
        </w:tc>
        <w:tc>
          <w:tcPr>
            <w:tcW w:type="dxa" w:w="4600"/>
            <w:tcMar>
              <w:top w:type="dxa" w:w="90"/>
              <w:left w:type="dxa" w:w="120"/>
              <w:bottom w:type="dxa" w:w="90"/>
              <w:right w:type="dxa" w:w="120"/>
            </w:tcMar>
          </w:tcPr>
          <w:p>
            <w:pPr>
              <w:spacing w:after="0" w:line="270"/>
            </w:pPr>
            <w:r>
              <w:rPr>
                <w:rFonts w:ascii="Calibri" w:cs="Calibri" w:eastAsia="Calibri" w:hAnsi="Calibri"/>
                <w:color w:val="241F1A"/>
                <w:sz w:val="19"/>
                <w:szCs w:val="19"/>
              </w:rPr>
              <w:t xml:space="preserve">The entire simulator — the isolated environment in which a decision is tested.</w:t>
            </w:r>
          </w:p>
        </w:tc>
      </w:tr>
    </w:tbl>
    <w:p>
      <w:pPr>
        <w:spacing w:after="160"/>
      </w:pPr>
      <w:r>
        <w:t xml:space="preserve"/>
      </w:r>
    </w:p>
    <w:p>
      <w:pPr>
        <w:spacing w:after="120" w:line="300"/>
      </w:pPr>
      <w:r>
        <w:rPr>
          <w:rFonts w:ascii="Calibri" w:cs="Calibri" w:eastAsia="Calibri" w:hAnsi="Calibri"/>
          <w:b/>
          <w:bCs/>
          <w:color w:val="241F1A"/>
          <w:sz w:val="21"/>
          <w:szCs w:val="21"/>
        </w:rPr>
        <w:t xml:space="preserve">Prototype disclosure. </w:t>
      </w:r>
      <w:r>
        <w:rPr>
          <w:rFonts w:ascii="Calibri" w:cs="Calibri" w:eastAsia="Calibri" w:hAnsi="Calibri"/>
          <w:color w:val="241F1A"/>
          <w:sz w:val="21"/>
          <w:szCs w:val="21"/>
        </w:rPr>
        <w:t xml:space="preserve">The Model node is rule-based, not a trained statistical or deep-learning model. All farm figures in this build are illustrative and drawn from published agronomic ranges rather than from a specific holding. No accuracy or production-readiness claims are made. The architecture is designed so that the Model node can be replaced with a trained predictor without any other node changing.</w:t>
      </w:r>
    </w:p>
    <w:p>
      <w:pPr>
        <w:pStyle w:val="Heading1"/>
        <w:spacing w:after="140" w:before="360"/>
      </w:pPr>
      <w:r>
        <w:rPr>
          <w:rFonts w:ascii="Cambria" w:cs="Cambria" w:eastAsia="Cambria" w:hAnsi="Cambria"/>
          <w:b/>
          <w:bCs/>
          <w:color w:val="1B4332"/>
          <w:sz w:val="30"/>
          <w:szCs w:val="30"/>
        </w:rPr>
        <w:t xml:space="preserve">6. Requirements and design</w:t>
      </w:r>
    </w:p>
    <w:p>
      <w:pPr>
        <w:pStyle w:val="Heading2"/>
        <w:spacing w:after="100" w:before="260"/>
      </w:pPr>
      <w:r>
        <w:rPr>
          <w:rFonts w:ascii="Cambria" w:cs="Cambria" w:eastAsia="Cambria" w:hAnsi="Cambria"/>
          <w:b/>
          <w:bCs/>
          <w:color w:val="40916C"/>
          <w:sz w:val="24"/>
          <w:szCs w:val="24"/>
        </w:rPr>
        <w:t xml:space="preserve">6.1 Design requirements</w:t>
      </w:r>
    </w:p>
    <w:p>
      <w:pPr>
        <w:pStyle w:val="ListParagraph"/>
        <w:numPr>
          <w:ilvl w:val="0"/>
          <w:numId w:val="3"/>
        </w:numPr>
        <w:spacing w:after="70" w:line="290"/>
      </w:pPr>
      <w:r>
        <w:rPr>
          <w:rFonts w:ascii="Calibri" w:cs="Calibri" w:eastAsia="Calibri" w:hAnsi="Calibri"/>
          <w:color w:val="241F1A"/>
          <w:sz w:val="21"/>
          <w:szCs w:val="21"/>
        </w:rPr>
        <w:t xml:space="preserve">It must run with no server and no mandatory API key, so that a farmer with a poor connection and a judge with a browser both reach the same working application.</w:t>
      </w:r>
    </w:p>
    <w:p>
      <w:pPr>
        <w:pStyle w:val="ListParagraph"/>
        <w:numPr>
          <w:ilvl w:val="0"/>
          <w:numId w:val="3"/>
        </w:numPr>
        <w:spacing w:after="70" w:line="290"/>
      </w:pPr>
      <w:r>
        <w:rPr>
          <w:rFonts w:ascii="Calibri" w:cs="Calibri" w:eastAsia="Calibri" w:hAnsi="Calibri"/>
          <w:color w:val="241F1A"/>
          <w:sz w:val="21"/>
          <w:szCs w:val="21"/>
        </w:rPr>
        <w:t xml:space="preserve">It must degrade, not fail. Every feature that depends on a network — the vision model, the forecast, the assistant — has a local fallback that is labelled as a fallback.</w:t>
      </w:r>
    </w:p>
    <w:p>
      <w:pPr>
        <w:pStyle w:val="ListParagraph"/>
        <w:numPr>
          <w:ilvl w:val="0"/>
          <w:numId w:val="3"/>
        </w:numPr>
        <w:spacing w:after="70" w:line="290"/>
      </w:pPr>
      <w:r>
        <w:rPr>
          <w:rFonts w:ascii="Calibri" w:cs="Calibri" w:eastAsia="Calibri" w:hAnsi="Calibri"/>
          <w:color w:val="241F1A"/>
          <w:sz w:val="21"/>
          <w:szCs w:val="21"/>
        </w:rPr>
        <w:t xml:space="preserve">Every AI output must be attributable and refusable. The pipeline trace shows where an answer came from; the Policy node can stop it; the farmer takes the final decision.</w:t>
      </w:r>
    </w:p>
    <w:p>
      <w:pPr>
        <w:pStyle w:val="ListParagraph"/>
        <w:numPr>
          <w:ilvl w:val="0"/>
          <w:numId w:val="3"/>
        </w:numPr>
        <w:spacing w:after="70" w:line="290"/>
      </w:pPr>
      <w:r>
        <w:rPr>
          <w:rFonts w:ascii="Calibri" w:cs="Calibri" w:eastAsia="Calibri" w:hAnsi="Calibri"/>
          <w:color w:val="241F1A"/>
          <w:sz w:val="21"/>
          <w:szCs w:val="21"/>
        </w:rPr>
        <w:t xml:space="preserve">It must be usable on a phone in a field, which sets the interaction budget: one decision per week, one tap to log an irrigation, voice instead of typing where typing is the barrier.</w:t>
      </w:r>
    </w:p>
    <w:p>
      <w:pPr>
        <w:pStyle w:val="ListParagraph"/>
        <w:numPr>
          <w:ilvl w:val="0"/>
          <w:numId w:val="3"/>
        </w:numPr>
        <w:spacing w:after="70" w:line="290"/>
      </w:pPr>
      <w:r>
        <w:rPr>
          <w:rFonts w:ascii="Calibri" w:cs="Calibri" w:eastAsia="Calibri" w:hAnsi="Calibri"/>
          <w:color w:val="241F1A"/>
          <w:sz w:val="21"/>
          <w:szCs w:val="21"/>
        </w:rPr>
        <w:t xml:space="preserve">It must not collect what it does not need. All data stays in the browser.</w:t>
      </w:r>
    </w:p>
    <w:p>
      <w:pPr>
        <w:pStyle w:val="Heading2"/>
        <w:spacing w:after="100" w:before="260"/>
      </w:pPr>
      <w:r>
        <w:rPr>
          <w:rFonts w:ascii="Cambria" w:cs="Cambria" w:eastAsia="Cambria" w:hAnsi="Cambria"/>
          <w:b/>
          <w:bCs/>
          <w:color w:val="40916C"/>
          <w:sz w:val="24"/>
          <w:szCs w:val="24"/>
        </w:rPr>
        <w:t xml:space="preserve">6.2 Technology</w:t>
      </w:r>
    </w:p>
    <w:p>
      <w:pPr>
        <w:pStyle w:val="ListParagraph"/>
        <w:numPr>
          <w:ilvl w:val="0"/>
          <w:numId w:val="3"/>
        </w:numPr>
        <w:spacing w:after="70" w:line="290"/>
      </w:pPr>
      <w:r>
        <w:rPr>
          <w:rFonts w:ascii="Calibri" w:cs="Calibri" w:eastAsia="Calibri" w:hAnsi="Calibri"/>
          <w:color w:val="241F1A"/>
          <w:sz w:val="21"/>
          <w:szCs w:val="21"/>
        </w:rPr>
        <w:t xml:space="preserve">HTML, CSS and vanilla JavaScript. No framework, no build step, no dependencies to install.</w:t>
      </w:r>
    </w:p>
    <w:p>
      <w:pPr>
        <w:pStyle w:val="ListParagraph"/>
        <w:numPr>
          <w:ilvl w:val="0"/>
          <w:numId w:val="3"/>
        </w:numPr>
        <w:spacing w:after="70" w:line="290"/>
      </w:pPr>
      <w:r>
        <w:rPr>
          <w:rFonts w:ascii="Calibri" w:cs="Calibri" w:eastAsia="Calibri" w:hAnsi="Calibri"/>
          <w:color w:val="241F1A"/>
          <w:sz w:val="21"/>
          <w:szCs w:val="21"/>
        </w:rPr>
        <w:t xml:space="preserve">localStorage for accounts, per-farm state, and shared community content, with an in-memory fallback when storage is blocked in private browsing.</w:t>
      </w:r>
    </w:p>
    <w:p>
      <w:pPr>
        <w:pStyle w:val="ListParagraph"/>
        <w:numPr>
          <w:ilvl w:val="0"/>
          <w:numId w:val="3"/>
        </w:numPr>
        <w:spacing w:after="70" w:line="290"/>
      </w:pPr>
      <w:r>
        <w:rPr>
          <w:rFonts w:ascii="Calibri" w:cs="Calibri" w:eastAsia="Calibri" w:hAnsi="Calibri"/>
          <w:color w:val="241F1A"/>
          <w:sz w:val="21"/>
          <w:szCs w:val="21"/>
        </w:rPr>
        <w:t xml:space="preserve">Google Gemini API — optional, user-supplied key — for the vision diagnosis and the assistant.</w:t>
      </w:r>
    </w:p>
    <w:p>
      <w:pPr>
        <w:pStyle w:val="ListParagraph"/>
        <w:numPr>
          <w:ilvl w:val="0"/>
          <w:numId w:val="3"/>
        </w:numPr>
        <w:spacing w:after="70" w:line="290"/>
      </w:pPr>
      <w:r>
        <w:rPr>
          <w:rFonts w:ascii="Calibri" w:cs="Calibri" w:eastAsia="Calibri" w:hAnsi="Calibri"/>
          <w:color w:val="241F1A"/>
          <w:sz w:val="21"/>
          <w:szCs w:val="21"/>
        </w:rPr>
        <w:t xml:space="preserve">Open-Meteo for live forecasts, with a deterministic offline climate model derived from the regional profiles as fallback.</w:t>
      </w:r>
    </w:p>
    <w:p>
      <w:pPr>
        <w:pStyle w:val="ListParagraph"/>
        <w:numPr>
          <w:ilvl w:val="0"/>
          <w:numId w:val="3"/>
        </w:numPr>
        <w:spacing w:after="70" w:line="290"/>
      </w:pPr>
      <w:r>
        <w:rPr>
          <w:rFonts w:ascii="Calibri" w:cs="Calibri" w:eastAsia="Calibri" w:hAnsi="Calibri"/>
          <w:color w:val="241F1A"/>
          <w:sz w:val="21"/>
          <w:szCs w:val="21"/>
        </w:rPr>
        <w:t xml:space="preserve">getUserMedia and MediaRecorder for the camera and the voice notes.</w:t>
      </w:r>
    </w:p>
    <w:p>
      <w:pPr>
        <w:pStyle w:val="Heading2"/>
        <w:spacing w:after="100" w:before="260"/>
      </w:pPr>
      <w:r>
        <w:rPr>
          <w:rFonts w:ascii="Cambria" w:cs="Cambria" w:eastAsia="Cambria" w:hAnsi="Cambria"/>
          <w:b/>
          <w:bCs/>
          <w:color w:val="40916C"/>
          <w:sz w:val="24"/>
          <w:szCs w:val="24"/>
        </w:rPr>
        <w:t xml:space="preserve">6.3 Security position</w:t>
      </w:r>
    </w:p>
    <w:p>
      <w:pPr>
        <w:spacing w:after="120" w:line="300"/>
      </w:pPr>
      <w:r>
        <w:rPr>
          <w:rFonts w:ascii="Calibri" w:cs="Calibri" w:eastAsia="Calibri" w:hAnsi="Calibri"/>
          <w:color w:val="241F1A"/>
          <w:sz w:val="21"/>
          <w:szCs w:val="21"/>
        </w:rPr>
        <w:t xml:space="preserve">Authentication in this build is prototype-grade and is documented as such inside the application. Passwords are hashed with a simple non-cryptographic digest so they are not stored in plain text, but localStorage is readable by any script on the page and offers no real protection. A production deployment would replace the storage layer with a proper backend and a real identity provider; nothing above that layer would need to change.</w:t>
      </w:r>
    </w:p>
    <w:p>
      <w:pPr>
        <w:pStyle w:val="Heading1"/>
        <w:spacing w:after="140" w:before="360"/>
      </w:pPr>
      <w:r>
        <w:rPr>
          <w:rFonts w:ascii="Cambria" w:cs="Cambria" w:eastAsia="Cambria" w:hAnsi="Cambria"/>
          <w:b/>
          <w:bCs/>
          <w:color w:val="1B4332"/>
          <w:sz w:val="30"/>
          <w:szCs w:val="30"/>
        </w:rPr>
        <w:t xml:space="preserve">7. Value added</w:t>
      </w:r>
    </w:p>
    <w:p>
      <w:pPr>
        <w:pStyle w:val="Heading2"/>
        <w:spacing w:after="100" w:before="260"/>
      </w:pPr>
      <w:r>
        <w:rPr>
          <w:rFonts w:ascii="Cambria" w:cs="Cambria" w:eastAsia="Cambria" w:hAnsi="Cambria"/>
          <w:b/>
          <w:bCs/>
          <w:color w:val="40916C"/>
          <w:sz w:val="24"/>
          <w:szCs w:val="24"/>
        </w:rPr>
        <w:t xml:space="preserve">7.1 For the farmer</w:t>
      </w:r>
    </w:p>
    <w:p>
      <w:pPr>
        <w:pStyle w:val="ListParagraph"/>
        <w:numPr>
          <w:ilvl w:val="0"/>
          <w:numId w:val="3"/>
        </w:numPr>
        <w:spacing w:after="70" w:line="290"/>
      </w:pPr>
      <w:r>
        <w:rPr>
          <w:rFonts w:ascii="Calibri" w:cs="Calibri" w:eastAsia="Calibri" w:hAnsi="Calibri"/>
          <w:color w:val="241F1A"/>
          <w:sz w:val="21"/>
          <w:szCs w:val="21"/>
        </w:rPr>
        <w:t xml:space="preserve">A wrong decision costs a simulated season instead of a real one.</w:t>
      </w:r>
    </w:p>
    <w:p>
      <w:pPr>
        <w:pStyle w:val="ListParagraph"/>
        <w:numPr>
          <w:ilvl w:val="0"/>
          <w:numId w:val="3"/>
        </w:numPr>
        <w:spacing w:after="70" w:line="290"/>
      </w:pPr>
      <w:r>
        <w:rPr>
          <w:rFonts w:ascii="Calibri" w:cs="Calibri" w:eastAsia="Calibri" w:hAnsi="Calibri"/>
          <w:color w:val="241F1A"/>
          <w:sz w:val="21"/>
          <w:szCs w:val="21"/>
        </w:rPr>
        <w:t xml:space="preserve">Irrigation and fertilisation stop depending on memory, which is where most avoidable loss on a small holding originates.</w:t>
      </w:r>
    </w:p>
    <w:p>
      <w:pPr>
        <w:pStyle w:val="ListParagraph"/>
        <w:numPr>
          <w:ilvl w:val="0"/>
          <w:numId w:val="3"/>
        </w:numPr>
        <w:spacing w:after="70" w:line="290"/>
      </w:pPr>
      <w:r>
        <w:rPr>
          <w:rFonts w:ascii="Calibri" w:cs="Calibri" w:eastAsia="Calibri" w:hAnsi="Calibri"/>
          <w:color w:val="241F1A"/>
          <w:sz w:val="21"/>
          <w:szCs w:val="21"/>
        </w:rPr>
        <w:t xml:space="preserve">A plant problem gets a first answer in seconds, at any hour, without travelling to an extension office.</w:t>
      </w:r>
    </w:p>
    <w:p>
      <w:pPr>
        <w:pStyle w:val="ListParagraph"/>
        <w:numPr>
          <w:ilvl w:val="0"/>
          <w:numId w:val="3"/>
        </w:numPr>
        <w:spacing w:after="70" w:line="290"/>
      </w:pPr>
      <w:r>
        <w:rPr>
          <w:rFonts w:ascii="Calibri" w:cs="Calibri" w:eastAsia="Calibri" w:hAnsi="Calibri"/>
          <w:color w:val="241F1A"/>
          <w:sz w:val="21"/>
          <w:szCs w:val="21"/>
        </w:rPr>
        <w:t xml:space="preserve">Weather becomes an instruction rather than a number.</w:t>
      </w:r>
    </w:p>
    <w:p>
      <w:pPr>
        <w:pStyle w:val="ListParagraph"/>
        <w:numPr>
          <w:ilvl w:val="0"/>
          <w:numId w:val="3"/>
        </w:numPr>
        <w:spacing w:after="70" w:line="290"/>
      </w:pPr>
      <w:r>
        <w:rPr>
          <w:rFonts w:ascii="Calibri" w:cs="Calibri" w:eastAsia="Calibri" w:hAnsi="Calibri"/>
          <w:color w:val="241F1A"/>
          <w:sz w:val="21"/>
          <w:szCs w:val="21"/>
        </w:rPr>
        <w:t xml:space="preserve">Knowledge that currently lives in a few experienced heads becomes searchable — including in the voice of the person who holds it.</w:t>
      </w:r>
    </w:p>
    <w:p>
      <w:pPr>
        <w:pStyle w:val="Heading2"/>
        <w:spacing w:after="100" w:before="260"/>
      </w:pPr>
      <w:r>
        <w:rPr>
          <w:rFonts w:ascii="Cambria" w:cs="Cambria" w:eastAsia="Cambria" w:hAnsi="Cambria"/>
          <w:b/>
          <w:bCs/>
          <w:color w:val="40916C"/>
          <w:sz w:val="24"/>
          <w:szCs w:val="24"/>
        </w:rPr>
        <w:t xml:space="preserve">7.2 For the sector and the region</w:t>
      </w:r>
    </w:p>
    <w:p>
      <w:pPr>
        <w:pStyle w:val="ListParagraph"/>
        <w:numPr>
          <w:ilvl w:val="0"/>
          <w:numId w:val="3"/>
        </w:numPr>
        <w:spacing w:after="70" w:line="290"/>
      </w:pPr>
      <w:r>
        <w:rPr>
          <w:rFonts w:ascii="Calibri" w:cs="Calibri" w:eastAsia="Calibri" w:hAnsi="Calibri"/>
          <w:color w:val="241F1A"/>
          <w:sz w:val="21"/>
          <w:szCs w:val="21"/>
        </w:rPr>
        <w:t xml:space="preserve">Readiness becomes measurable per holding rather than estimated per region, which is what a targeted support programme actually needs.</w:t>
      </w:r>
    </w:p>
    <w:p>
      <w:pPr>
        <w:pStyle w:val="ListParagraph"/>
        <w:numPr>
          <w:ilvl w:val="0"/>
          <w:numId w:val="3"/>
        </w:numPr>
        <w:spacing w:after="70" w:line="290"/>
      </w:pPr>
      <w:r>
        <w:rPr>
          <w:rFonts w:ascii="Calibri" w:cs="Calibri" w:eastAsia="Calibri" w:hAnsi="Calibri"/>
          <w:color w:val="241F1A"/>
          <w:sz w:val="21"/>
          <w:szCs w:val="21"/>
        </w:rPr>
        <w:t xml:space="preserve">Water saved by skipping unnecessary irrigation is counted at the point where the decision is made.</w:t>
      </w:r>
    </w:p>
    <w:p>
      <w:pPr>
        <w:pStyle w:val="ListParagraph"/>
        <w:numPr>
          <w:ilvl w:val="0"/>
          <w:numId w:val="3"/>
        </w:numPr>
        <w:spacing w:after="70" w:line="290"/>
      </w:pPr>
      <w:r>
        <w:rPr>
          <w:rFonts w:ascii="Calibri" w:cs="Calibri" w:eastAsia="Calibri" w:hAnsi="Calibri"/>
          <w:color w:val="241F1A"/>
          <w:sz w:val="21"/>
          <w:szCs w:val="21"/>
        </w:rPr>
        <w:t xml:space="preserve">The record a farm accumulates by using the tool is the dataset a future trained model would require — the application generates its own successor's training data.</w:t>
      </w:r>
    </w:p>
    <w:p>
      <w:pPr>
        <w:pStyle w:val="ListParagraph"/>
        <w:numPr>
          <w:ilvl w:val="0"/>
          <w:numId w:val="3"/>
        </w:numPr>
        <w:spacing w:after="70" w:line="290"/>
      </w:pPr>
      <w:r>
        <w:rPr>
          <w:rFonts w:ascii="Calibri" w:cs="Calibri" w:eastAsia="Calibri" w:hAnsi="Calibri"/>
          <w:color w:val="241F1A"/>
          <w:sz w:val="21"/>
          <w:szCs w:val="21"/>
        </w:rPr>
        <w:t xml:space="preserve">Highland coffee, a UNESCO-inscribed cultivation practice, gets a support tool that is aware it is not a coastal crop.</w:t>
      </w:r>
    </w:p>
    <w:p>
      <w:pPr>
        <w:pStyle w:val="Heading2"/>
        <w:spacing w:after="100" w:before="260"/>
      </w:pPr>
      <w:r>
        <w:rPr>
          <w:rFonts w:ascii="Cambria" w:cs="Cambria" w:eastAsia="Cambria" w:hAnsi="Cambria"/>
          <w:b/>
          <w:bCs/>
          <w:color w:val="40916C"/>
          <w:sz w:val="24"/>
          <w:szCs w:val="24"/>
        </w:rPr>
        <w:t xml:space="preserve">7.3 Alignment with national goals</w:t>
      </w:r>
    </w:p>
    <w:p>
      <w:pPr>
        <w:spacing w:after="120" w:line="300"/>
      </w:pPr>
      <w:r>
        <w:rPr>
          <w:rFonts w:ascii="Calibri" w:cs="Calibri" w:eastAsia="Calibri" w:hAnsi="Calibri"/>
          <w:color w:val="241F1A"/>
          <w:sz w:val="21"/>
          <w:szCs w:val="21"/>
        </w:rPr>
        <w:t xml:space="preserve">The project sits inside the Kingdom's existing framework rather than beside it: Vision 2030's food-security and water-efficiency objectives, SDAIA's National Strategy for Data and AI and its staged sectoral approach to adoption, the Personal Data Protection Law's consent and data-handling requirements, MEWA's water-efficiency programmes, and the Reef programme's support for exactly the smallholder value chains — Arabica coffee, beekeeping, fruit, rainfed sorghum, sesame and millet — that this application is designed around.</w:t>
      </w:r>
    </w:p>
    <w:p>
      <w:pPr>
        <w:pStyle w:val="Heading1"/>
        <w:spacing w:after="140" w:before="360"/>
      </w:pPr>
      <w:r>
        <w:rPr>
          <w:rFonts w:ascii="Cambria" w:cs="Cambria" w:eastAsia="Cambria" w:hAnsi="Cambria"/>
          <w:b/>
          <w:bCs/>
          <w:color w:val="1B4332"/>
          <w:sz w:val="30"/>
          <w:szCs w:val="30"/>
        </w:rPr>
        <w:t xml:space="preserve">8. Policy gaps identified</w:t>
      </w:r>
    </w:p>
    <w:p>
      <w:pPr>
        <w:spacing w:after="120" w:line="300"/>
      </w:pPr>
      <w:r>
        <w:rPr>
          <w:rFonts w:ascii="Calibri" w:cs="Calibri" w:eastAsia="Calibri" w:hAnsi="Calibri"/>
          <w:color w:val="241F1A"/>
          <w:sz w:val="21"/>
          <w:szCs w:val="21"/>
        </w:rPr>
        <w:t xml:space="preserve">Building the application surfaced four gaps that a policy instrument, not a feature, would have to close.</w:t>
      </w:r>
    </w:p>
    <w:p>
      <w:pPr>
        <w:pStyle w:val="ListParagraph"/>
        <w:numPr>
          <w:ilvl w:val="0"/>
          <w:numId w:val="2"/>
        </w:numPr>
        <w:spacing w:after="70" w:line="290"/>
      </w:pPr>
      <w:r>
        <w:rPr>
          <w:rFonts w:ascii="Calibri" w:cs="Calibri" w:eastAsia="Calibri" w:hAnsi="Calibri"/>
          <w:color w:val="241F1A"/>
          <w:sz w:val="21"/>
          <w:szCs w:val="21"/>
        </w:rPr>
        <w:t xml:space="preserve">Ownership of farm-generated data is unsettled. When a smallholder's irrigation record trains a model held by a supplier, no instrument states who owns the record, who may resell the derived model, or what the farmer is owed. The PDPL governs personal data; agricultural operational data sits outside its clearest provisions.</w:t>
      </w:r>
    </w:p>
    <w:p>
      <w:pPr>
        <w:pStyle w:val="ListParagraph"/>
        <w:numPr>
          <w:ilvl w:val="0"/>
          <w:numId w:val="2"/>
        </w:numPr>
        <w:spacing w:after="70" w:line="290"/>
      </w:pPr>
      <w:r>
        <w:rPr>
          <w:rFonts w:ascii="Calibri" w:cs="Calibri" w:eastAsia="Calibri" w:hAnsi="Calibri"/>
          <w:color w:val="241F1A"/>
          <w:sz w:val="21"/>
          <w:szCs w:val="21"/>
        </w:rPr>
        <w:t xml:space="preserve">There is no accreditation route for agricultural AI advice. A veterinary medicine and a pesticide are both regulated; a mobile application that tells a farmer to apply that pesticide is not. A lightweight conformity route — even a disclosure standard covering training data, tested crops and known failure modes — would let a farmer distinguish a tested tool from a demonstration.</w:t>
      </w:r>
    </w:p>
    <w:p>
      <w:pPr>
        <w:pStyle w:val="ListParagraph"/>
        <w:numPr>
          <w:ilvl w:val="0"/>
          <w:numId w:val="2"/>
        </w:numPr>
        <w:spacing w:after="70" w:line="290"/>
      </w:pPr>
      <w:r>
        <w:rPr>
          <w:rFonts w:ascii="Calibri" w:cs="Calibri" w:eastAsia="Calibri" w:hAnsi="Calibri"/>
          <w:color w:val="241F1A"/>
          <w:sz w:val="21"/>
          <w:szCs w:val="21"/>
        </w:rPr>
        <w:t xml:space="preserve">Readiness is measured at national and regional level, not at holding level, so support programmes cannot target the actual constraint. A farm blocked by connectivity and a farm blocked by data literacy appear identical in aggregate statistics and need entirely different interventions.</w:t>
      </w:r>
    </w:p>
    <w:p>
      <w:pPr>
        <w:pStyle w:val="ListParagraph"/>
        <w:numPr>
          <w:ilvl w:val="0"/>
          <w:numId w:val="2"/>
        </w:numPr>
        <w:spacing w:after="70" w:line="290"/>
      </w:pPr>
      <w:r>
        <w:rPr>
          <w:rFonts w:ascii="Calibri" w:cs="Calibri" w:eastAsia="Calibri" w:hAnsi="Calibri"/>
          <w:color w:val="241F1A"/>
          <w:sz w:val="21"/>
          <w:szCs w:val="21"/>
        </w:rPr>
        <w:t xml:space="preserve">Sandbox testing has no recognised status. Y.3172 defines the ML Sandbox, but no national process treats a documented sandbox trial as evidence when approving an AI-informed practice for subsidy or extension support. Recognising it would give both the developer and the farmer a reason to test before deploying.</w:t>
      </w:r>
    </w:p>
    <w:p>
      <w:pPr>
        <w:pStyle w:val="Heading1"/>
        <w:spacing w:after="140" w:before="360"/>
      </w:pPr>
      <w:r>
        <w:rPr>
          <w:rFonts w:ascii="Cambria" w:cs="Cambria" w:eastAsia="Cambria" w:hAnsi="Cambria"/>
          <w:b/>
          <w:bCs/>
          <w:color w:val="1B4332"/>
          <w:sz w:val="30"/>
          <w:szCs w:val="30"/>
        </w:rPr>
        <w:t xml:space="preserve">9. Limitations and next steps</w:t>
      </w:r>
    </w:p>
    <w:p>
      <w:pPr>
        <w:pStyle w:val="ListParagraph"/>
        <w:numPr>
          <w:ilvl w:val="0"/>
          <w:numId w:val="3"/>
        </w:numPr>
        <w:spacing w:after="70" w:line="290"/>
      </w:pPr>
      <w:r>
        <w:rPr>
          <w:rFonts w:ascii="Calibri" w:cs="Calibri" w:eastAsia="Calibri" w:hAnsi="Calibri"/>
          <w:color w:val="241F1A"/>
          <w:sz w:val="21"/>
          <w:szCs w:val="21"/>
        </w:rPr>
        <w:t xml:space="preserve">The Model node is rule-based. Replacing it with a predictor trained on real Jazan farm records is the first substantive step, and the plant register is designed to accumulate exactly those records.</w:t>
      </w:r>
    </w:p>
    <w:p>
      <w:pPr>
        <w:pStyle w:val="ListParagraph"/>
        <w:numPr>
          <w:ilvl w:val="0"/>
          <w:numId w:val="3"/>
        </w:numPr>
        <w:spacing w:after="70" w:line="290"/>
      </w:pPr>
      <w:r>
        <w:rPr>
          <w:rFonts w:ascii="Calibri" w:cs="Calibri" w:eastAsia="Calibri" w:hAnsi="Calibri"/>
          <w:color w:val="241F1A"/>
          <w:sz w:val="21"/>
          <w:szCs w:val="21"/>
        </w:rPr>
        <w:t xml:space="preserve">Three crops are simulated in depth. Extending the envelope model to the full fifteen registered crops is mechanical rather than architectural work.</w:t>
      </w:r>
    </w:p>
    <w:p>
      <w:pPr>
        <w:pStyle w:val="ListParagraph"/>
        <w:numPr>
          <w:ilvl w:val="0"/>
          <w:numId w:val="3"/>
        </w:numPr>
        <w:spacing w:after="70" w:line="290"/>
      </w:pPr>
      <w:r>
        <w:rPr>
          <w:rFonts w:ascii="Calibri" w:cs="Calibri" w:eastAsia="Calibri" w:hAnsi="Calibri"/>
          <w:color w:val="241F1A"/>
          <w:sz w:val="21"/>
          <w:szCs w:val="21"/>
        </w:rPr>
        <w:t xml:space="preserve">There is no backend, so community content is shared per device rather than per region. A production version would move the forum and market to a server with real identity.</w:t>
      </w:r>
    </w:p>
    <w:p>
      <w:pPr>
        <w:pStyle w:val="ListParagraph"/>
        <w:numPr>
          <w:ilvl w:val="0"/>
          <w:numId w:val="3"/>
        </w:numPr>
        <w:spacing w:after="70" w:line="290"/>
      </w:pPr>
      <w:r>
        <w:rPr>
          <w:rFonts w:ascii="Calibri" w:cs="Calibri" w:eastAsia="Calibri" w:hAnsi="Calibri"/>
          <w:color w:val="241F1A"/>
          <w:sz w:val="21"/>
          <w:szCs w:val="21"/>
        </w:rPr>
        <w:t xml:space="preserve">The vision diagnosis has not been validated against expert plant-pathologist labelling on Jazan crops specifically. Any deployment beyond prototype should begin with that validation.</w:t>
      </w:r>
    </w:p>
    <w:p>
      <w:pPr>
        <w:pStyle w:val="ListParagraph"/>
        <w:numPr>
          <w:ilvl w:val="0"/>
          <w:numId w:val="3"/>
        </w:numPr>
        <w:spacing w:after="70" w:line="290"/>
      </w:pPr>
      <w:r>
        <w:rPr>
          <w:rFonts w:ascii="Calibri" w:cs="Calibri" w:eastAsia="Calibri" w:hAnsi="Calibri"/>
          <w:color w:val="241F1A"/>
          <w:sz w:val="21"/>
          <w:szCs w:val="21"/>
        </w:rPr>
        <w:t xml:space="preserve">The interface is currently English. An Arabic right-to-left version is the highest-value next addition for actual field use in the region.</w:t>
      </w:r>
    </w:p>
    <w:p>
      <w:pPr>
        <w:pStyle w:val="Heading1"/>
        <w:spacing w:after="140" w:before="360"/>
      </w:pPr>
      <w:r>
        <w:rPr>
          <w:rFonts w:ascii="Cambria" w:cs="Cambria" w:eastAsia="Cambria" w:hAnsi="Cambria"/>
          <w:b/>
          <w:bCs/>
          <w:color w:val="1B4332"/>
          <w:sz w:val="30"/>
          <w:szCs w:val="30"/>
        </w:rPr>
        <w:t xml:space="preserve">10. References</w:t>
      </w:r>
    </w:p>
    <w:p>
      <w:pPr>
        <w:spacing w:after="120" w:line="300"/>
      </w:pPr>
      <w:r>
        <w:rPr>
          <w:rFonts w:ascii="Calibri" w:cs="Calibri" w:eastAsia="Calibri" w:hAnsi="Calibri"/>
          <w:color w:val="5A5248"/>
          <w:sz w:val="19"/>
          <w:szCs w:val="19"/>
        </w:rPr>
        <w:t xml:space="preserve">Every source is a primary one, and all are listed inside the application under References.</w:t>
      </w:r>
    </w:p>
    <w:p>
      <w:pPr>
        <w:pStyle w:val="Heading2"/>
        <w:spacing w:after="100" w:before="260"/>
      </w:pPr>
      <w:r>
        <w:rPr>
          <w:rFonts w:ascii="Cambria" w:cs="Cambria" w:eastAsia="Cambria" w:hAnsi="Cambria"/>
          <w:b/>
          <w:bCs/>
          <w:color w:val="40916C"/>
          <w:sz w:val="24"/>
          <w:szCs w:val="24"/>
        </w:rPr>
        <w:t xml:space="preserve">Standards</w:t>
      </w:r>
    </w:p>
    <w:p>
      <w:pPr>
        <w:spacing w:after="70" w:line="290"/>
      </w:pPr>
      <w:hyperlink w:history="1" r:id="rId2kad7jdsk-lqicbqsfpwy">
        <w:r>
          <w:rPr>
            <w:rFonts w:ascii="Calibri" w:cs="Calibri" w:eastAsia="Calibri" w:hAnsi="Calibri"/>
            <w:color w:val="1F6F54"/>
            <w:sz w:val="19"/>
            <w:szCs w:val="19"/>
            <w:u w:val="single"/>
          </w:rPr>
          <w:t xml:space="preserve">ITU-T Y.3172 — Architectural framework for machine learning in future networks</w:t>
        </w:r>
      </w:hyperlink>
    </w:p>
    <w:p>
      <w:pPr>
        <w:spacing w:after="70" w:line="290"/>
      </w:pPr>
      <w:hyperlink w:history="1" r:id="rIduqn46omt2z1avycg3dkte">
        <w:r>
          <w:rPr>
            <w:rFonts w:ascii="Calibri" w:cs="Calibri" w:eastAsia="Calibri" w:hAnsi="Calibri"/>
            <w:color w:val="1F6F54"/>
            <w:sz w:val="19"/>
            <w:szCs w:val="19"/>
            <w:u w:val="single"/>
          </w:rPr>
          <w:t xml:space="preserve">ITU-T Y.3174 — Framework for data handling to enable machine learning</w:t>
        </w:r>
      </w:hyperlink>
    </w:p>
    <w:p>
      <w:pPr>
        <w:spacing w:after="70" w:line="290"/>
      </w:pPr>
      <w:hyperlink w:history="1" r:id="rIdoqczc6ctfqnk3aulzzlxc">
        <w:r>
          <w:rPr>
            <w:rFonts w:ascii="Calibri" w:cs="Calibri" w:eastAsia="Calibri" w:hAnsi="Calibri"/>
            <w:color w:val="1F6F54"/>
            <w:sz w:val="19"/>
            <w:szCs w:val="19"/>
            <w:u w:val="single"/>
          </w:rPr>
          <w:t xml:space="preserve">ITU-T Y.3176 — Machine learning marketplace integration</w:t>
        </w:r>
      </w:hyperlink>
    </w:p>
    <w:p>
      <w:pPr>
        <w:spacing w:after="70" w:line="290"/>
      </w:pPr>
      <w:hyperlink w:history="1" r:id="rIdtqqmm5frekrzo6kml9kph">
        <w:r>
          <w:rPr>
            <w:rFonts w:ascii="Calibri" w:cs="Calibri" w:eastAsia="Calibri" w:hAnsi="Calibri"/>
            <w:color w:val="1F6F54"/>
            <w:sz w:val="19"/>
            <w:szCs w:val="19"/>
            <w:u w:val="single"/>
          </w:rPr>
          <w:t xml:space="preserve">ITU-T Y.3181 — Architectural framework for the machine learning sandbox</w:t>
        </w:r>
      </w:hyperlink>
    </w:p>
    <w:p>
      <w:pPr>
        <w:pStyle w:val="Heading2"/>
        <w:spacing w:after="100" w:before="260"/>
      </w:pPr>
      <w:r>
        <w:rPr>
          <w:rFonts w:ascii="Cambria" w:cs="Cambria" w:eastAsia="Cambria" w:hAnsi="Cambria"/>
          <w:b/>
          <w:bCs/>
          <w:color w:val="40916C"/>
          <w:sz w:val="24"/>
          <w:szCs w:val="24"/>
        </w:rPr>
        <w:t xml:space="preserve">Programme</w:t>
      </w:r>
    </w:p>
    <w:p>
      <w:pPr>
        <w:spacing w:after="70" w:line="290"/>
      </w:pPr>
      <w:hyperlink w:history="1" r:id="rId3lqdm15hdqec4ikluu-7o">
        <w:r>
          <w:rPr>
            <w:rFonts w:ascii="Calibri" w:cs="Calibri" w:eastAsia="Calibri" w:hAnsi="Calibri"/>
            <w:color w:val="1F6F54"/>
            <w:sz w:val="19"/>
            <w:szCs w:val="19"/>
            <w:u w:val="single"/>
          </w:rPr>
          <w:t xml:space="preserve">AI Readiness Hackathon — Kingdom of Saudi Arabia</w:t>
        </w:r>
      </w:hyperlink>
    </w:p>
    <w:p>
      <w:pPr>
        <w:spacing w:after="70" w:line="290"/>
      </w:pPr>
      <w:hyperlink w:history="1" r:id="rIdbilngs5n1xhb5up0wf1uw">
        <w:r>
          <w:rPr>
            <w:rFonts w:ascii="Calibri" w:cs="Calibri" w:eastAsia="Calibri" w:hAnsi="Calibri"/>
            <w:color w:val="1F6F54"/>
            <w:sz w:val="19"/>
            <w:szCs w:val="19"/>
            <w:u w:val="single"/>
          </w:rPr>
          <w:t xml:space="preserve">AI for Good — ITU</w:t>
        </w:r>
      </w:hyperlink>
    </w:p>
    <w:p>
      <w:pPr>
        <w:pStyle w:val="Heading2"/>
        <w:spacing w:after="100" w:before="260"/>
      </w:pPr>
      <w:r>
        <w:rPr>
          <w:rFonts w:ascii="Cambria" w:cs="Cambria" w:eastAsia="Cambria" w:hAnsi="Cambria"/>
          <w:b/>
          <w:bCs/>
          <w:color w:val="40916C"/>
          <w:sz w:val="24"/>
          <w:szCs w:val="24"/>
        </w:rPr>
        <w:t xml:space="preserve">Saudi policy and programmes</w:t>
      </w:r>
    </w:p>
    <w:p>
      <w:pPr>
        <w:spacing w:after="70" w:line="290"/>
      </w:pPr>
      <w:hyperlink w:history="1" r:id="rIdp_oruoxsfeu8mywgehthx">
        <w:r>
          <w:rPr>
            <w:rFonts w:ascii="Calibri" w:cs="Calibri" w:eastAsia="Calibri" w:hAnsi="Calibri"/>
            <w:color w:val="1F6F54"/>
            <w:sz w:val="19"/>
            <w:szCs w:val="19"/>
            <w:u w:val="single"/>
          </w:rPr>
          <w:t xml:space="preserve">National Strategy for Data and AI — SDAIA</w:t>
        </w:r>
      </w:hyperlink>
    </w:p>
    <w:p>
      <w:pPr>
        <w:spacing w:after="70" w:line="290"/>
      </w:pPr>
      <w:hyperlink w:history="1" r:id="rId15lzf8itmt7kku0aa6hrn">
        <w:r>
          <w:rPr>
            <w:rFonts w:ascii="Calibri" w:cs="Calibri" w:eastAsia="Calibri" w:hAnsi="Calibri"/>
            <w:color w:val="1F6F54"/>
            <w:sz w:val="19"/>
            <w:szCs w:val="19"/>
            <w:u w:val="single"/>
          </w:rPr>
          <w:t xml:space="preserve">Regulations and policies, including AI governance — SDAIA</w:t>
        </w:r>
      </w:hyperlink>
    </w:p>
    <w:p>
      <w:pPr>
        <w:spacing w:after="70" w:line="290"/>
      </w:pPr>
      <w:hyperlink w:history="1" r:id="rIdxpjwl1qyakrq1ctom7eg-">
        <w:r>
          <w:rPr>
            <w:rFonts w:ascii="Calibri" w:cs="Calibri" w:eastAsia="Calibri" w:hAnsi="Calibri"/>
            <w:color w:val="1F6F54"/>
            <w:sz w:val="19"/>
            <w:szCs w:val="19"/>
            <w:u w:val="single"/>
          </w:rPr>
          <w:t xml:space="preserve">Personal Data Protection Law — SDAIA</w:t>
        </w:r>
      </w:hyperlink>
    </w:p>
    <w:p>
      <w:pPr>
        <w:spacing w:after="70" w:line="290"/>
      </w:pPr>
      <w:hyperlink w:history="1" r:id="rIddf5xoinwnvd7xurwxlkna">
        <w:r>
          <w:rPr>
            <w:rFonts w:ascii="Calibri" w:cs="Calibri" w:eastAsia="Calibri" w:hAnsi="Calibri"/>
            <w:color w:val="1F6F54"/>
            <w:sz w:val="19"/>
            <w:szCs w:val="19"/>
            <w:u w:val="single"/>
          </w:rPr>
          <w:t xml:space="preserve">Ministry of Environment, Water and Agriculture</w:t>
        </w:r>
      </w:hyperlink>
    </w:p>
    <w:p>
      <w:pPr>
        <w:spacing w:after="70" w:line="290"/>
      </w:pPr>
      <w:hyperlink w:history="1" r:id="rIdu2xehsnn3ozichhhd5fl6">
        <w:r>
          <w:rPr>
            <w:rFonts w:ascii="Calibri" w:cs="Calibri" w:eastAsia="Calibri" w:hAnsi="Calibri"/>
            <w:color w:val="1F6F54"/>
            <w:sz w:val="19"/>
            <w:szCs w:val="19"/>
            <w:u w:val="single"/>
          </w:rPr>
          <w:t xml:space="preserve">Sustainable Agricultural Rural Development Programme (Reef)</w:t>
        </w:r>
      </w:hyperlink>
    </w:p>
    <w:p>
      <w:pPr>
        <w:spacing w:after="70" w:line="290"/>
      </w:pPr>
      <w:hyperlink w:history="1" r:id="rIdfvsclff1fru4jk29g3njs">
        <w:r>
          <w:rPr>
            <w:rFonts w:ascii="Calibri" w:cs="Calibri" w:eastAsia="Calibri" w:hAnsi="Calibri"/>
            <w:color w:val="1F6F54"/>
            <w:sz w:val="19"/>
            <w:szCs w:val="19"/>
            <w:u w:val="single"/>
          </w:rPr>
          <w:t xml:space="preserve">Agricultural Development Fund</w:t>
        </w:r>
      </w:hyperlink>
    </w:p>
    <w:p>
      <w:pPr>
        <w:spacing w:after="70" w:line="290"/>
      </w:pPr>
      <w:hyperlink w:history="1" r:id="rIdcw0kkx2hudftrq_4yxuoh">
        <w:r>
          <w:rPr>
            <w:rFonts w:ascii="Calibri" w:cs="Calibri" w:eastAsia="Calibri" w:hAnsi="Calibri"/>
            <w:color w:val="1F6F54"/>
            <w:sz w:val="19"/>
            <w:szCs w:val="19"/>
            <w:u w:val="single"/>
          </w:rPr>
          <w:t xml:space="preserve">Saudi Green Initiative</w:t>
        </w:r>
      </w:hyperlink>
    </w:p>
    <w:p>
      <w:pPr>
        <w:spacing w:after="70" w:line="290"/>
      </w:pPr>
      <w:hyperlink w:history="1" r:id="rIdw0ab4oncxqgxmtblfhnp7">
        <w:r>
          <w:rPr>
            <w:rFonts w:ascii="Calibri" w:cs="Calibri" w:eastAsia="Calibri" w:hAnsi="Calibri"/>
            <w:color w:val="1F6F54"/>
            <w:sz w:val="19"/>
            <w:szCs w:val="19"/>
            <w:u w:val="single"/>
          </w:rPr>
          <w:t xml:space="preserve">Comprehensive Agricultural Survey — GASTAT</w:t>
        </w:r>
      </w:hyperlink>
    </w:p>
    <w:p>
      <w:pPr>
        <w:spacing w:after="70" w:line="290"/>
      </w:pPr>
      <w:hyperlink w:history="1" r:id="rIdiwpsaqso8h6e3q3u_l-um">
        <w:r>
          <w:rPr>
            <w:rFonts w:ascii="Calibri" w:cs="Calibri" w:eastAsia="Calibri" w:hAnsi="Calibri"/>
            <w:color w:val="1F6F54"/>
            <w:sz w:val="19"/>
            <w:szCs w:val="19"/>
            <w:u w:val="single"/>
          </w:rPr>
          <w:t xml:space="preserve">Saudi Vision 2030</w:t>
        </w:r>
      </w:hyperlink>
    </w:p>
    <w:p>
      <w:pPr>
        <w:pStyle w:val="Heading2"/>
        <w:spacing w:after="100" w:before="260"/>
      </w:pPr>
      <w:r>
        <w:rPr>
          <w:rFonts w:ascii="Cambria" w:cs="Cambria" w:eastAsia="Cambria" w:hAnsi="Cambria"/>
          <w:b/>
          <w:bCs/>
          <w:color w:val="40916C"/>
          <w:sz w:val="24"/>
          <w:szCs w:val="24"/>
        </w:rPr>
        <w:t xml:space="preserve">Research, heritage and data services</w:t>
      </w:r>
    </w:p>
    <w:p>
      <w:pPr>
        <w:spacing w:after="70" w:line="290"/>
      </w:pPr>
      <w:hyperlink w:history="1" r:id="rId1edygle4jkbuw94tw_vyb">
        <w:r>
          <w:rPr>
            <w:rFonts w:ascii="Calibri" w:cs="Calibri" w:eastAsia="Calibri" w:hAnsi="Calibri"/>
            <w:color w:val="1F6F54"/>
            <w:sz w:val="19"/>
            <w:szCs w:val="19"/>
            <w:u w:val="single"/>
          </w:rPr>
          <w:t xml:space="preserve">Food and Agriculture Organization of the United Nations</w:t>
        </w:r>
      </w:hyperlink>
    </w:p>
    <w:p>
      <w:pPr>
        <w:spacing w:after="70" w:line="290"/>
      </w:pPr>
      <w:hyperlink w:history="1" r:id="rIdi_02l94m8ntj9lkot2efa">
        <w:r>
          <w:rPr>
            <w:rFonts w:ascii="Calibri" w:cs="Calibri" w:eastAsia="Calibri" w:hAnsi="Calibri"/>
            <w:color w:val="1F6F54"/>
            <w:sz w:val="19"/>
            <w:szCs w:val="19"/>
            <w:u w:val="single"/>
          </w:rPr>
          <w:t xml:space="preserve">AQUASTAT — FAO water and agriculture database</w:t>
        </w:r>
      </w:hyperlink>
    </w:p>
    <w:p>
      <w:pPr>
        <w:spacing w:after="70" w:line="290"/>
      </w:pPr>
      <w:hyperlink w:history="1" r:id="rIdlvsqa8vzij1xelsnouy6m">
        <w:r>
          <w:rPr>
            <w:rFonts w:ascii="Calibri" w:cs="Calibri" w:eastAsia="Calibri" w:hAnsi="Calibri"/>
            <w:color w:val="1F6F54"/>
            <w:sz w:val="19"/>
            <w:szCs w:val="19"/>
            <w:u w:val="single"/>
          </w:rPr>
          <w:t xml:space="preserve">International Center for Biosaline Agriculture</w:t>
        </w:r>
      </w:hyperlink>
    </w:p>
    <w:p>
      <w:pPr>
        <w:spacing w:after="70" w:line="290"/>
      </w:pPr>
      <w:hyperlink w:history="1" r:id="rId1njw5rqqrbjvmrp0vgylb">
        <w:r>
          <w:rPr>
            <w:rFonts w:ascii="Calibri" w:cs="Calibri" w:eastAsia="Calibri" w:hAnsi="Calibri"/>
            <w:color w:val="1F6F54"/>
            <w:sz w:val="19"/>
            <w:szCs w:val="19"/>
            <w:u w:val="single"/>
          </w:rPr>
          <w:t xml:space="preserve">ICARDA — dry-area agriculture research</w:t>
        </w:r>
      </w:hyperlink>
    </w:p>
    <w:p>
      <w:pPr>
        <w:spacing w:after="70" w:line="290"/>
      </w:pPr>
      <w:hyperlink w:history="1" r:id="rIdl70alcje4ukcg0qzxiwml">
        <w:r>
          <w:rPr>
            <w:rFonts w:ascii="Calibri" w:cs="Calibri" w:eastAsia="Calibri" w:hAnsi="Calibri"/>
            <w:color w:val="1F6F54"/>
            <w:sz w:val="19"/>
            <w:szCs w:val="19"/>
            <w:u w:val="single"/>
          </w:rPr>
          <w:t xml:space="preserve">KAUST — plant science and desert agriculture</w:t>
        </w:r>
      </w:hyperlink>
    </w:p>
    <w:p>
      <w:pPr>
        <w:spacing w:after="70" w:line="290"/>
      </w:pPr>
      <w:hyperlink w:history="1" r:id="rIdn1k684xttzelynkpkvo1m">
        <w:r>
          <w:rPr>
            <w:rFonts w:ascii="Calibri" w:cs="Calibri" w:eastAsia="Calibri" w:hAnsi="Calibri"/>
            <w:color w:val="1F6F54"/>
            <w:sz w:val="19"/>
            <w:szCs w:val="19"/>
            <w:u w:val="single"/>
          </w:rPr>
          <w:t xml:space="preserve">UNESCO — cultivating Khawlani coffee beans, inscription decision 17.COM 7.B.24</w:t>
        </w:r>
      </w:hyperlink>
    </w:p>
    <w:p>
      <w:pPr>
        <w:spacing w:after="70" w:line="290"/>
      </w:pPr>
      <w:hyperlink w:history="1" r:id="rIdwjxu4nhrmo50n8ywjvuzl">
        <w:r>
          <w:rPr>
            <w:rFonts w:ascii="Calibri" w:cs="Calibri" w:eastAsia="Calibri" w:hAnsi="Calibri"/>
            <w:color w:val="1F6F54"/>
            <w:sz w:val="19"/>
            <w:szCs w:val="19"/>
            <w:u w:val="single"/>
          </w:rPr>
          <w:t xml:space="preserve">Open-Meteo forecast API documentation</w:t>
        </w:r>
      </w:hyperlink>
    </w:p>
    <w:p>
      <w:pPr>
        <w:spacing w:after="70" w:line="290"/>
      </w:pPr>
      <w:hyperlink w:history="1" r:id="rIdadljtf4zqrsgmj4ap3uar">
        <w:r>
          <w:rPr>
            <w:rFonts w:ascii="Calibri" w:cs="Calibri" w:eastAsia="Calibri" w:hAnsi="Calibri"/>
            <w:color w:val="1F6F54"/>
            <w:sz w:val="19"/>
            <w:szCs w:val="19"/>
            <w:u w:val="single"/>
          </w:rPr>
          <w:t xml:space="preserve">Google Gemini API documentation</w:t>
        </w:r>
      </w:hyperlink>
    </w:p>
    <w:p>
      <w:pPr>
        <w:spacing w:after="400"/>
      </w:pPr>
      <w:r>
        <w:t xml:space="preserve"/>
      </w:r>
    </w:p>
    <w:p>
      <w:pPr>
        <w:pBdr>
          <w:bottom w:val="single" w:color="D9CEB8" w:sz="6" w:space="6"/>
        </w:pBdr>
        <w:spacing w:after="220" w:before="60"/>
      </w:pPr>
      <w:r>
        <w:t xml:space="preserve"/>
      </w:r>
    </w:p>
    <w:p>
      <w:pPr>
        <w:spacing w:after="120" w:line="300"/>
      </w:pPr>
      <w:r>
        <w:rPr>
          <w:rFonts w:ascii="Calibri" w:cs="Calibri" w:eastAsia="Calibri" w:hAnsi="Calibri"/>
          <w:i/>
          <w:iCs/>
          <w:color w:val="5A5248"/>
          <w:sz w:val="19"/>
          <w:szCs w:val="19"/>
        </w:rPr>
        <w:t xml:space="preserve">TerraTwin — concept, design and development by Wanas Zakri. Submitted to the ITU AI Readiness Hackathon, Kingdom of Saudi Arabia.</w:t>
      </w:r>
    </w:p>
    <w:sectPr>
      <w:headerReference w:type="default" r:id="rId7"/>
      <w:footerReference w:type="default" r:id="rId8"/>
      <w:pgSz w:w="11906" w:h="16838" w:orient="portrait"/>
      <w:pgMar w:top="1440" w:right="1512" w:bottom="1440"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083"/>
        <w:sz w:val="16"/>
        <w:szCs w:val="16"/>
      </w:rPr>
      <w:t xml:space="preserve"/>
    </w:r>
    <w:r>
      <w:rPr>
        <w:rFonts w:ascii="Calibri" w:cs="Calibri" w:eastAsia="Calibri" w:hAnsi="Calibri"/>
        <w:color w:val="9A90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Calibri" w:cs="Calibri" w:eastAsia="Calibri" w:hAnsi="Calibri"/>
        <w:color w:val="9A9083"/>
        <w:sz w:val="16"/>
        <w:szCs w:val="16"/>
      </w:rPr>
      <w:t xml:space="preserve">TerraTwin · ITU AI Readiness Hackathon · Wanas Zakri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kad7jdsk-lqicbqsfpwy" Type="http://schemas.openxmlformats.org/officeDocument/2006/relationships/hyperlink" Target="https://www.itu.int/rec/T-REC-Y.3172/en" TargetMode="External"/><Relationship Id="rIduqn46omt2z1avycg3dkte" Type="http://schemas.openxmlformats.org/officeDocument/2006/relationships/hyperlink" Target="https://www.itu.int/rec/T-REC-Y.3174/en" TargetMode="External"/><Relationship Id="rIdoqczc6ctfqnk3aulzzlxc" Type="http://schemas.openxmlformats.org/officeDocument/2006/relationships/hyperlink" Target="https://www.itu.int/rec/T-REC-Y.3176/en" TargetMode="External"/><Relationship Id="rIdtqqmm5frekrzo6kml9kph" Type="http://schemas.openxmlformats.org/officeDocument/2006/relationships/hyperlink" Target="https://www.itu.int/rec/T-REC-Y.3181/en" TargetMode="External"/><Relationship Id="rId3lqdm15hdqec4ikluu-7o" Type="http://schemas.openxmlformats.org/officeDocument/2006/relationships/hyperlink" Target="https://aiforgood.itu.int/event/ai-readiness-hackathon-kingdom-of-saudi-arabia/" TargetMode="External"/><Relationship Id="rIdbilngs5n1xhb5up0wf1uw" Type="http://schemas.openxmlformats.org/officeDocument/2006/relationships/hyperlink" Target="https://aiforgood.itu.int/" TargetMode="External"/><Relationship Id="rIdp_oruoxsfeu8mywgehthx" Type="http://schemas.openxmlformats.org/officeDocument/2006/relationships/hyperlink" Target="https://sdaia.gov.sa/en/SDAIA/SdaiaStrategies/Pages/NationalStrategyForDataAndAI.aspx" TargetMode="External"/><Relationship Id="rId15lzf8itmt7kku0aa6hrn" Type="http://schemas.openxmlformats.org/officeDocument/2006/relationships/hyperlink" Target="https://sdaia.gov.sa/en/SDAIA/about/Pages/RegulationsAndPolicies.aspx" TargetMode="External"/><Relationship Id="rIdxpjwl1qyakrq1ctom7eg-" Type="http://schemas.openxmlformats.org/officeDocument/2006/relationships/hyperlink" Target="https://sdaia.gov.sa/en/Research/Pages/DataProtection.aspx" TargetMode="External"/><Relationship Id="rIddf5xoinwnvd7xurwxlkna" Type="http://schemas.openxmlformats.org/officeDocument/2006/relationships/hyperlink" Target="https://www.mewa.gov.sa/en/" TargetMode="External"/><Relationship Id="rIdu2xehsnn3ozichhhd5fl6" Type="http://schemas.openxmlformats.org/officeDocument/2006/relationships/hyperlink" Target="https://reef.gov.sa" TargetMode="External"/><Relationship Id="rIdfvsclff1fru4jk29g3njs" Type="http://schemas.openxmlformats.org/officeDocument/2006/relationships/hyperlink" Target="https://adf.gov.sa/en" TargetMode="External"/><Relationship Id="rIdcw0kkx2hudftrq_4yxuoh" Type="http://schemas.openxmlformats.org/officeDocument/2006/relationships/hyperlink" Target="https://www.greeninitiatives.gov.sa/" TargetMode="External"/><Relationship Id="rIdw0ab4oncxqgxmtblfhnp7" Type="http://schemas.openxmlformats.org/officeDocument/2006/relationships/hyperlink" Target="https://www.stats.gov.sa/en/w/gastat-launches-comprehensive-agricultural-survey" TargetMode="External"/><Relationship Id="rIdiwpsaqso8h6e3q3u_l-um" Type="http://schemas.openxmlformats.org/officeDocument/2006/relationships/hyperlink" Target="https://www.vision2030.gov.sa" TargetMode="External"/><Relationship Id="rId1edygle4jkbuw94tw_vyb" Type="http://schemas.openxmlformats.org/officeDocument/2006/relationships/hyperlink" Target="https://www.fao.org" TargetMode="External"/><Relationship Id="rIdi_02l94m8ntj9lkot2efa" Type="http://schemas.openxmlformats.org/officeDocument/2006/relationships/hyperlink" Target="https://www.fao.org/aquastat/en/" TargetMode="External"/><Relationship Id="rIdlvsqa8vzij1xelsnouy6m" Type="http://schemas.openxmlformats.org/officeDocument/2006/relationships/hyperlink" Target="https://www.biosaline.org" TargetMode="External"/><Relationship Id="rId1njw5rqqrbjvmrp0vgylb" Type="http://schemas.openxmlformats.org/officeDocument/2006/relationships/hyperlink" Target="https://www.icarda.org" TargetMode="External"/><Relationship Id="rIdl70alcje4ukcg0qzxiwml" Type="http://schemas.openxmlformats.org/officeDocument/2006/relationships/hyperlink" Target="https://www.kaust.edu.sa" TargetMode="External"/><Relationship Id="rIdn1k684xttzelynkpkvo1m" Type="http://schemas.openxmlformats.org/officeDocument/2006/relationships/hyperlink" Target="https://ich.unesco.org/en/decisions/17.COM/7.B.24" TargetMode="External"/><Relationship Id="rIdwjxu4nhrmo50n8ywjvuzl" Type="http://schemas.openxmlformats.org/officeDocument/2006/relationships/hyperlink" Target="https://open-meteo.com/en/docs" TargetMode="External"/><Relationship Id="rIdadljtf4zqrsgmj4ap3uar" Type="http://schemas.openxmlformats.org/officeDocument/2006/relationships/hyperlink" Target="https://ai.google.dev/gemini-api/docs"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TerraTwin — AI Application Explanation</dc:title>
  <dc:creator>Wanas Zakri</dc:creator>
  <dc:description>ITU AI Readiness Hackathon submission document</dc:description>
  <cp:lastModifiedBy>Un-named</cp:lastModifiedBy>
  <cp:revision>1</cp:revision>
  <dcterms:created xsi:type="dcterms:W3CDTF">2026-08-30T15:26:10.740Z</dcterms:created>
  <dcterms:modified xsi:type="dcterms:W3CDTF">2026-08-30T15:26:10.741Z</dcterms:modified>
</cp:coreProperties>
</file>

<file path=docProps/custom.xml><?xml version="1.0" encoding="utf-8"?>
<Properties xmlns="http://schemas.openxmlformats.org/officeDocument/2006/custom-properties" xmlns:vt="http://schemas.openxmlformats.org/officeDocument/2006/docPropsVTypes"/>
</file>