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73F2E"/>
          <w:sz w:val="48"/>
        </w:rPr>
        <w:t>TerraTwin</w:t>
      </w:r>
    </w:p>
    <w:p>
      <w:pPr>
        <w:jc w:val="center"/>
      </w:pPr>
      <w:r>
        <w:rPr>
          <w:b/>
          <w:sz w:val="24"/>
        </w:rPr>
        <w:t>AI Readiness Digital Twin for Sustainable Agriculture</w:t>
      </w:r>
    </w:p>
    <w:p>
      <w:pPr>
        <w:jc w:val="center"/>
      </w:pPr>
      <w:r>
        <w:rPr>
          <w:color w:val="5F5F5F"/>
          <w:sz w:val="18"/>
        </w:rPr>
        <w:t>Final Technical Report · ITU AI Readiness Hackathon — KSA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2088"/>
            <w:shd w:fill="E3EBDD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  <w:sz w:val="16"/>
              </w:rPr>
              <w:t>Team name</w:t>
            </w:r>
          </w:p>
        </w:tc>
        <w:tc>
          <w:tcPr>
            <w:tcW w:type="dxa" w:w="835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sz w:val="16"/>
              </w:rPr>
              <w:t>TerraTwin</w:t>
            </w:r>
          </w:p>
        </w:tc>
      </w:tr>
      <w:tr>
        <w:tc>
          <w:tcPr>
            <w:tcW w:type="dxa" w:w="2088"/>
            <w:shd w:fill="E3EBDD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  <w:sz w:val="16"/>
              </w:rPr>
              <w:t>Members name</w:t>
            </w:r>
          </w:p>
        </w:tc>
        <w:tc>
          <w:tcPr>
            <w:tcW w:type="dxa" w:w="835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sz w:val="16"/>
              </w:rPr>
              <w:t>Wanas Zakri (solo submission)</w:t>
            </w:r>
          </w:p>
        </w:tc>
      </w:tr>
      <w:tr>
        <w:tc>
          <w:tcPr>
            <w:tcW w:type="dxa" w:w="2088"/>
            <w:shd w:fill="E3EBDD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  <w:sz w:val="16"/>
              </w:rPr>
              <w:t>Solution name</w:t>
            </w:r>
          </w:p>
        </w:tc>
        <w:tc>
          <w:tcPr>
            <w:tcW w:type="dxa" w:w="835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sz w:val="16"/>
              </w:rPr>
              <w:t>TerraTwin</w:t>
            </w:r>
          </w:p>
        </w:tc>
      </w:tr>
      <w:tr>
        <w:tc>
          <w:tcPr>
            <w:tcW w:type="dxa" w:w="2088"/>
            <w:shd w:fill="E3EBDD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  <w:sz w:val="16"/>
              </w:rPr>
              <w:t>Contact details</w:t>
            </w:r>
          </w:p>
        </w:tc>
        <w:tc>
          <w:tcPr>
            <w:tcW w:type="dxa" w:w="835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sz w:val="16"/>
              </w:rPr>
              <w:t>Email: wnszakri@gmail.com</w:t>
            </w:r>
          </w:p>
        </w:tc>
      </w:tr>
    </w:tbl>
    <w:p>
      <w:pPr>
        <w:pStyle w:val="Heading1"/>
      </w:pPr>
      <w:r>
        <w:t>1. Introduction</w:t>
      </w:r>
    </w:p>
    <w:p>
      <w:r>
        <w:t>Agricultural AI often arrives as a finished recommendation—irrigate, fertilise, spray or plant—before the farm has the data, connectivity, governance practice or safe trial environment needed to use that recommendation responsibly. TerraTwin is a browser-based AI-readiness digital twin designed for smallholders in Jazan, Saudi Arabia. It measures readiness, rehearses agricultural decisions in a sandbox, and then supports daily farm operations so readiness improves through ordinary use rather than a one-time survey.</w:t>
      </w:r>
    </w:p>
    <w:p>
      <w:r>
        <w:t>The solution implements the ITU-T Y.3172 ML pipeline as visible application behaviour: SRC → C → PP → M → P → D → SINK, orchestrated within a sandbox. The current Model node is explicitly prototype-grade and rule-based, not a trained statistical or deep-learning model; all farm figures are illustrative. This disclosure is intentional so the prototype demonstrates architecture, policy enforcement and readiness logic without overstating model accuracy.</w:t>
      </w:r>
    </w:p>
    <w:p>
      <w:pPr>
        <w:pStyle w:val="Heading2"/>
      </w:pPr>
      <w:r>
        <w:t>Why Jazan</w:t>
      </w:r>
    </w:p>
    <w:p>
      <w:r>
        <w:t>Jazan contains sharply different agricultural systems within one region: the hot humid Tihama coast, Wadi Sabya, Abu Arish plain, Al-Reeth foothills and Fifa highlands. A recommendation useful for one setting may be harmful in another. TerraTwin therefore chooses site before crop and makes local conditions part of every simulation and guidance path.</w:t>
      </w:r>
    </w:p>
    <w:p>
      <w:pPr>
        <w:pStyle w:val="Heading2"/>
      </w:pPr>
      <w:r>
        <w:t>Core solution</w:t>
      </w:r>
    </w:p>
    <w:p>
      <w:pPr>
        <w:pStyle w:val="CompactBullet"/>
      </w:pPr>
      <w:r>
        <w:t xml:space="preserve">• </w:t>
      </w:r>
      <w:r>
        <w:t>Readiness scorecard: 19 questions across Data, Infrastructure, Governance, Skills and Sandbox Readiness, scored out of 100 with the weakest dimension named as the priority gap.</w:t>
      </w:r>
    </w:p>
    <w:p>
      <w:pPr>
        <w:pStyle w:val="CompactBullet"/>
      </w:pPr>
      <w:r>
        <w:t xml:space="preserve">• </w:t>
      </w:r>
      <w:r>
        <w:t>Decision sandbox: weekly decisions—irrigate, fertilise, treat, inspect or hold—change six live crop vitals and pass through the full Y.3172 pipeline; the Policy node can visibly refuse unsafe actions.</w:t>
      </w:r>
    </w:p>
    <w:p>
      <w:pPr>
        <w:pStyle w:val="CompactBullet"/>
      </w:pPr>
      <w:r>
        <w:t xml:space="preserve">• </w:t>
      </w:r>
      <w:r>
        <w:t>Operations layer: plant register, irrigation/fertilisation scheduling, plant-health camera with offline fallback, weather-to-action alerts, farmers’ forum, local market and Farmy knowledge assistant.</w:t>
      </w:r>
    </w:p>
    <w:p>
      <w:r>
        <w:br w:type="page"/>
      </w:r>
    </w:p>
    <w:p>
      <w:pPr>
        <w:pStyle w:val="Heading1"/>
      </w:pPr>
      <w:r>
        <w:t>2. Use Case, Existing Gaps and Value</w:t>
      </w:r>
    </w:p>
    <w:p>
      <w:pPr>
        <w:pStyle w:val="Heading2"/>
      </w:pPr>
      <w:r>
        <w:t>2.1 Gaps in existing approaches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19"/>
        <w:gridCol w:w="3619"/>
        <w:gridCol w:w="3619"/>
      </w:tblGrid>
      <w:tr>
        <w:trPr>
          <w:tblHeader w:val="true"/>
        </w:trPr>
        <w:tc>
          <w:tcPr>
            <w:tcW w:type="dxa" w:w="1944"/>
            <w:shd w:fill="173F2E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rPr>
                <w:b/>
                <w:color w:val="FFFFFF"/>
                <w:sz w:val="14"/>
              </w:rPr>
              <w:t>Gap</w:t>
            </w:r>
          </w:p>
        </w:tc>
        <w:tc>
          <w:tcPr>
            <w:tcW w:type="dxa" w:w="3816"/>
            <w:shd w:fill="173F2E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rPr>
                <w:b/>
                <w:color w:val="FFFFFF"/>
                <w:sz w:val="14"/>
              </w:rPr>
              <w:t>Why it matters</w:t>
            </w:r>
          </w:p>
        </w:tc>
        <w:tc>
          <w:tcPr>
            <w:tcW w:type="dxa" w:w="5112"/>
            <w:shd w:fill="173F2E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rPr>
                <w:b/>
                <w:color w:val="FFFFFF"/>
                <w:sz w:val="14"/>
              </w:rPr>
              <w:t>TerraTwin response</w:t>
            </w:r>
          </w:p>
        </w:tc>
      </w:tr>
      <w:tr>
        <w:tc>
          <w:tcPr>
            <w:tcW w:type="dxa" w:w="194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Farm-level readiness</w:t>
            </w:r>
          </w:p>
        </w:tc>
        <w:tc>
          <w:tcPr>
            <w:tcW w:type="dxa" w:w="381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National or regional readiness indicators do not reveal whether an individual holding lacks data, connectivity, skills, governance or a safe testing route.</w:t>
            </w:r>
          </w:p>
        </w:tc>
        <w:tc>
          <w:tcPr>
            <w:tcW w:type="dxa" w:w="511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Five-dimension score with a named priority gap enables targeted support before investment.</w:t>
            </w:r>
          </w:p>
        </w:tc>
      </w:tr>
      <w:tr>
        <w:tc>
          <w:tcPr>
            <w:tcW w:type="dxa" w:w="194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Unsafe first deployment</w:t>
            </w:r>
          </w:p>
        </w:tc>
        <w:tc>
          <w:tcPr>
            <w:tcW w:type="dxa" w:w="381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AI advice can be acted upon before it is validated against local agronomic or governance constraints.</w:t>
            </w:r>
          </w:p>
        </w:tc>
        <w:tc>
          <w:tcPr>
            <w:tcW w:type="dxa" w:w="511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Every candidate decision is simulated first; Policy rules can block it before it reaches the user.</w:t>
            </w:r>
          </w:p>
        </w:tc>
      </w:tr>
      <w:tr>
        <w:tc>
          <w:tcPr>
            <w:tcW w:type="dxa" w:w="194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Weak operational data</w:t>
            </w:r>
          </w:p>
        </w:tc>
        <w:tc>
          <w:tcPr>
            <w:tcW w:type="dxa" w:w="381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A survey captures readiness at one moment but does not create the farm history needed for future AI.</w:t>
            </w:r>
          </w:p>
        </w:tc>
        <w:tc>
          <w:tcPr>
            <w:tcW w:type="dxa" w:w="511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Each logged irrigation, scan and schedule change becomes a farm-owned operating record.</w:t>
            </w:r>
          </w:p>
        </w:tc>
      </w:tr>
      <w:tr>
        <w:tc>
          <w:tcPr>
            <w:tcW w:type="dxa" w:w="194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Connectivity barrier</w:t>
            </w:r>
          </w:p>
        </w:tc>
        <w:tc>
          <w:tcPr>
            <w:tcW w:type="dxa" w:w="381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Cloud-only tools can fail where the field signal is weakest.</w:t>
            </w:r>
          </w:p>
        </w:tc>
        <w:tc>
          <w:tcPr>
            <w:tcW w:type="dxa" w:w="511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Core app works locally; photo analysis and weather features degrade to documented offline fallbacks.</w:t>
            </w:r>
          </w:p>
        </w:tc>
      </w:tr>
      <w:tr>
        <w:tc>
          <w:tcPr>
            <w:tcW w:type="dxa" w:w="194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Local-context mismatch</w:t>
            </w:r>
          </w:p>
        </w:tc>
        <w:tc>
          <w:tcPr>
            <w:tcW w:type="dxa" w:w="381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Crop suitability and water decisions vary strongly between coast, plains, foothills and highlands.</w:t>
            </w:r>
          </w:p>
        </w:tc>
        <w:tc>
          <w:tcPr>
            <w:tcW w:type="dxa" w:w="511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Simulation uses Jazan sub-region, soil, season and weather context before generating outcomes.</w:t>
            </w:r>
          </w:p>
        </w:tc>
      </w:tr>
    </w:tbl>
    <w:p>
      <w:pPr>
        <w:pStyle w:val="Heading2"/>
      </w:pPr>
      <w:r>
        <w:t>2.2 Practical value</w:t>
      </w:r>
    </w:p>
    <w:p>
      <w:pPr>
        <w:pStyle w:val="CompactBullet"/>
      </w:pPr>
      <w:r>
        <w:t xml:space="preserve">• </w:t>
      </w:r>
      <w:r>
        <w:t>Failure without cost: a wrong irrigation or fertiliser decision loses a simulated week or season instead of water, inputs and yield.</w:t>
      </w:r>
    </w:p>
    <w:p>
      <w:pPr>
        <w:pStyle w:val="CompactBullet"/>
      </w:pPr>
      <w:r>
        <w:t xml:space="preserve">• </w:t>
      </w:r>
      <w:r>
        <w:t>Governance made executable: privacy and safe-practice rules are represented in the P (Policy) node and logged as part of the decision path.</w:t>
      </w:r>
    </w:p>
    <w:p>
      <w:pPr>
        <w:pStyle w:val="CompactBullet"/>
      </w:pPr>
      <w:r>
        <w:t xml:space="preserve">• </w:t>
      </w:r>
      <w:r>
        <w:t>Readiness that maintains itself: the heaviest readiness requirement—usable farm data—improves as the farmer uses the scheduling, scan and simulation features.</w:t>
      </w:r>
    </w:p>
    <w:p>
      <w:pPr>
        <w:pStyle w:val="CompactBullet"/>
      </w:pPr>
      <w:r>
        <w:t xml:space="preserve">• </w:t>
      </w:r>
      <w:r>
        <w:t>Water efficiency at the decision point: rain-aware rescheduling can skip unnecessary irrigation and count estimated litres saved where behaviour changes.</w:t>
      </w:r>
    </w:p>
    <w:p>
      <w:pPr>
        <w:pStyle w:val="CompactBullet"/>
      </w:pPr>
      <w:r>
        <w:t xml:space="preserve">• </w:t>
      </w:r>
      <w:r>
        <w:t>Inclusive interaction: the app is designed for phone use and supports voice notes in the community layer, reducing dependence on typing.</w:t>
      </w:r>
    </w:p>
    <w:p>
      <w:pPr>
        <w:pStyle w:val="Heading2"/>
      </w:pPr>
      <w:r>
        <w:t>2.3 AI Readiness alignment</w:t>
      </w:r>
    </w:p>
    <w:p>
      <w:r>
        <w:t>The project follows the hackathon framing of AI readiness as more than model performance. TerraTwin’s operational five dimensions are a farm-level implementation lens: Data and Infrastructure address foundational capacity; Skills addresses adoption capability; Governance addresses consent, privacy and safe use; Sandbox Readiness addresses controlled experimentation, validation and human oversight. The solution is also aligned to national AI strategy, water-efficiency priorities and farm-level deployment realities through the policy mapping below.</w:t>
      </w:r>
    </w:p>
    <w:p>
      <w:r>
        <w:br w:type="page"/>
      </w:r>
    </w:p>
    <w:p>
      <w:pPr>
        <w:pStyle w:val="Heading1"/>
      </w:pPr>
      <w:r>
        <w:t>3. Mapped Documents and Y.3172 Pipeline</w:t>
      </w:r>
    </w:p>
    <w:p>
      <w:r>
        <w:t>For each Y.3172 node, TerraTwin identifies both the technical role and the policy/strategy materials that support responsible implementation. The complete submission knowledge base contains 505 authentic public sources; this table lists the highest-priority sources used directly by the prototype.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19"/>
        <w:gridCol w:w="3619"/>
        <w:gridCol w:w="3619"/>
      </w:tblGrid>
      <w:tr>
        <w:trPr>
          <w:tblHeader w:val="true"/>
        </w:trPr>
        <w:tc>
          <w:tcPr>
            <w:tcW w:type="dxa" w:w="1080"/>
            <w:shd w:fill="173F2E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rPr>
                <w:b/>
                <w:color w:val="FFFFFF"/>
                <w:sz w:val="14"/>
              </w:rPr>
              <w:t>Node</w:t>
            </w:r>
          </w:p>
        </w:tc>
        <w:tc>
          <w:tcPr>
            <w:tcW w:type="dxa" w:w="4320"/>
            <w:shd w:fill="173F2E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rPr>
                <w:b/>
                <w:color w:val="FFFFFF"/>
                <w:sz w:val="14"/>
              </w:rPr>
              <w:t>TerraTwin implementation</w:t>
            </w:r>
          </w:p>
        </w:tc>
        <w:tc>
          <w:tcPr>
            <w:tcW w:type="dxa" w:w="5472"/>
            <w:shd w:fill="173F2E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rPr>
                <w:b/>
                <w:color w:val="FFFFFF"/>
                <w:sz w:val="14"/>
              </w:rPr>
              <w:t>Mapped documents / policy rationale</w:t>
            </w:r>
          </w:p>
        </w:tc>
      </w:tr>
      <w:tr>
        <w:tc>
          <w:tcPr>
            <w:tcW w:type="dxa" w:w="108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SRC</w:t>
            </w:r>
          </w:p>
        </w:tc>
        <w:tc>
          <w:tcPr>
            <w:tcW w:type="dxa" w:w="432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Farm profile, soil, irrigation, weather, prior yield and pest observations.</w:t>
            </w:r>
          </w:p>
        </w:tc>
        <w:tc>
          <w:tcPr>
            <w:tcW w:type="dxa" w:w="547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PDPL (SDAIA); MEWA agriculture/water guidance; GASTAT agricultural statistics; FAO/AQUASTAT.</w:t>
            </w:r>
          </w:p>
        </w:tc>
      </w:tr>
      <w:tr>
        <w:tc>
          <w:tcPr>
            <w:tcW w:type="dxa" w:w="108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C</w:t>
            </w:r>
          </w:p>
        </w:tc>
        <w:tc>
          <w:tcPr>
            <w:tcW w:type="dxa" w:w="432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Consolidates observations into a farm profile and local operational record.</w:t>
            </w:r>
          </w:p>
        </w:tc>
        <w:tc>
          <w:tcPr>
            <w:tcW w:type="dxa" w:w="547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PDPL purpose limitation/consent; SDAIA data governance; ITU-T Y.3172 data-flow role.</w:t>
            </w:r>
          </w:p>
        </w:tc>
      </w:tr>
      <w:tr>
        <w:tc>
          <w:tcPr>
            <w:tcW w:type="dxa" w:w="108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PP</w:t>
            </w:r>
          </w:p>
        </w:tc>
        <w:tc>
          <w:tcPr>
            <w:tcW w:type="dxa" w:w="432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Normalises inputs into readiness and simulation formats.</w:t>
            </w:r>
          </w:p>
        </w:tc>
        <w:tc>
          <w:tcPr>
            <w:tcW w:type="dxa" w:w="547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ITU-T Y.3172; data-quality and governance guidance represented in KB; transparent transformation rules.</w:t>
            </w:r>
          </w:p>
        </w:tc>
      </w:tr>
      <w:tr>
        <w:tc>
          <w:tcPr>
            <w:tcW w:type="dxa" w:w="108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M</w:t>
            </w:r>
          </w:p>
        </w:tc>
        <w:tc>
          <w:tcPr>
            <w:tcW w:type="dxa" w:w="432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Rule-based readiness scorer and digital-twin growth/stress/pest engine; replaceable later by trained model.</w:t>
            </w:r>
          </w:p>
        </w:tc>
        <w:tc>
          <w:tcPr>
            <w:tcW w:type="dxa" w:w="547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ITU-T Y.3172 architecture; ITU AI Readiness reports; future validation benchmark references in KB.</w:t>
            </w:r>
          </w:p>
        </w:tc>
      </w:tr>
      <w:tr>
        <w:tc>
          <w:tcPr>
            <w:tcW w:type="dxa" w:w="108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P</w:t>
            </w:r>
          </w:p>
        </w:tc>
        <w:tc>
          <w:tcPr>
            <w:tcW w:type="dxa" w:w="432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Checks irrigation interval, fertiliser ceiling, pest threshold and data-handling flags; can refuse an action.</w:t>
            </w:r>
          </w:p>
        </w:tc>
        <w:tc>
          <w:tcPr>
            <w:tcW w:type="dxa" w:w="547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SDAIA AI governance; Saudi PDPL; MEWA safe/resource-efficient practice; human override/guardrails.</w:t>
            </w:r>
          </w:p>
        </w:tc>
      </w:tr>
      <w:tr>
        <w:tc>
          <w:tcPr>
            <w:tcW w:type="dxa" w:w="108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D</w:t>
            </w:r>
          </w:p>
        </w:tc>
        <w:tc>
          <w:tcPr>
            <w:tcW w:type="dxa" w:w="432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Routes approved output to dashboard, alerts, recommendation report and logs.</w:t>
            </w:r>
          </w:p>
        </w:tc>
        <w:tc>
          <w:tcPr>
            <w:tcW w:type="dxa" w:w="547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Data-minimisation/access principles; usability and inclusion; energy/connectivity-aware delivery.</w:t>
            </w:r>
          </w:p>
        </w:tc>
      </w:tr>
      <w:tr>
        <w:tc>
          <w:tcPr>
            <w:tcW w:type="dxa" w:w="108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SINK</w:t>
            </w:r>
          </w:p>
        </w:tc>
        <w:tc>
          <w:tcPr>
            <w:tcW w:type="dxa" w:w="432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Farmer-facing action/result; the farmer remains decision-maker.</w:t>
            </w:r>
          </w:p>
        </w:tc>
        <w:tc>
          <w:tcPr>
            <w:tcW w:type="dxa" w:w="547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Human-in-the-loop principle; clear disclosure that prototype outputs are decision support, not certified agronomic diagnosis.</w:t>
            </w:r>
          </w:p>
        </w:tc>
      </w:tr>
      <w:tr>
        <w:tc>
          <w:tcPr>
            <w:tcW w:type="dxa" w:w="108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MLFO / Sandbox</w:t>
            </w:r>
          </w:p>
        </w:tc>
        <w:tc>
          <w:tcPr>
            <w:tcW w:type="dxa" w:w="432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Sequences PP→M→P→D and rehearses decisions before real-field use.</w:t>
            </w:r>
          </w:p>
        </w:tc>
        <w:tc>
          <w:tcPr>
            <w:tcW w:type="dxa" w:w="5472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ITU-T Y.3172 pipeline and sandbox concepts; controlled testing before deployment; traceable run history.</w:t>
            </w:r>
          </w:p>
        </w:tc>
      </w:tr>
    </w:tbl>
    <w:p>
      <w:pPr>
        <w:pStyle w:val="Heading2"/>
      </w:pPr>
      <w:r>
        <w:t>Priority reference set</w:t>
      </w:r>
    </w:p>
    <w:p>
      <w:r>
        <w:t>ITU-T Y.3172 (ML pipeline); ITU AI Readiness report v2.0 and AI-RE Toolkit; Saudi National Strategy for Data and AI (SDAIA); SDAIA Regulations and Policies / AI governance; Saudi Personal Data Protection Law; Ministry of Environment, Water and Agriculture; Saudi Vision 2030; GASTAT agricultural statistics; FAO and AQUASTAT; ICBA and ICARDA; UNESCO Khawlani coffee heritage sources. Full clickable references are supplied in the separate Knowledge Base PDF/DOCX.</w:t>
      </w:r>
    </w:p>
    <w:p>
      <w:r>
        <w:br w:type="page"/>
      </w:r>
    </w:p>
    <w:p>
      <w:pPr>
        <w:pStyle w:val="Heading1"/>
      </w:pPr>
      <w:r>
        <w:t>4. Evaluation Scenarios</w:t>
      </w:r>
    </w:p>
    <w:p>
      <w:r>
        <w:t>The scenarios test not only successful operation but also controversy and failure. Each response is tied to pre-agreed rules so corrective action is not improvised after harm occurs.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</w:tblGrid>
      <w:tr>
        <w:trPr>
          <w:tblHeader w:val="true"/>
        </w:trPr>
        <w:tc>
          <w:tcPr>
            <w:tcW w:type="dxa" w:w="1584"/>
            <w:shd w:fill="173F2E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rPr>
                <w:b/>
                <w:color w:val="FFFFFF"/>
                <w:sz w:val="13"/>
              </w:rPr>
              <w:t>Scenario</w:t>
            </w:r>
          </w:p>
        </w:tc>
        <w:tc>
          <w:tcPr>
            <w:tcW w:type="dxa" w:w="2304"/>
            <w:shd w:fill="173F2E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rPr>
                <w:b/>
                <w:color w:val="FFFFFF"/>
                <w:sz w:val="13"/>
              </w:rPr>
              <w:t>Risk</w:t>
            </w:r>
          </w:p>
        </w:tc>
        <w:tc>
          <w:tcPr>
            <w:tcW w:type="dxa" w:w="4536"/>
            <w:shd w:fill="173F2E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rPr>
                <w:b/>
                <w:color w:val="FFFFFF"/>
                <w:sz w:val="13"/>
              </w:rPr>
              <w:t>System response</w:t>
            </w:r>
          </w:p>
        </w:tc>
        <w:tc>
          <w:tcPr>
            <w:tcW w:type="dxa" w:w="2376"/>
            <w:shd w:fill="173F2E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rPr>
                <w:b/>
                <w:color w:val="FFFFFF"/>
                <w:sz w:val="13"/>
              </w:rPr>
              <w:t>Policy/KB basis</w:t>
            </w:r>
          </w:p>
        </w:tc>
      </w:tr>
      <w:tr>
        <w:tc>
          <w:tcPr>
            <w:tcW w:type="dxa" w:w="158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1. Over-irrigation request</w:t>
            </w:r>
          </w:p>
        </w:tc>
        <w:tc>
          <w:tcPr>
            <w:tcW w:type="dxa" w:w="230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A farmer irrigates again while soil is already saturated or before the minimum safe interval.</w:t>
            </w:r>
          </w:p>
        </w:tc>
        <w:tc>
          <w:tcPr>
            <w:tcW w:type="dxa" w:w="453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P node refuses the request, turns visibly to blocked status, states the reason, records the event and leaves plant state unchanged. Human can inspect and choose a different action.</w:t>
            </w:r>
          </w:p>
        </w:tc>
        <w:tc>
          <w:tcPr>
            <w:tcW w:type="dxa" w:w="237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Water-efficiency / safe-practice rules; Y.3172 Policy node; MEWA-aligned resource stewardship.</w:t>
            </w:r>
          </w:p>
        </w:tc>
      </w:tr>
      <w:tr>
        <w:tc>
          <w:tcPr>
            <w:tcW w:type="dxa" w:w="158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2. Excess fertiliser</w:t>
            </w:r>
          </w:p>
        </w:tc>
        <w:tc>
          <w:tcPr>
            <w:tcW w:type="dxa" w:w="230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The farmer requests another dose after the configured seasonal ceiling.</w:t>
            </w:r>
          </w:p>
        </w:tc>
        <w:tc>
          <w:tcPr>
            <w:tcW w:type="dxa" w:w="453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Policy node blocks the dose and explains runoff/root-stress risk. The simulator demonstrates the avoided consequence without consuming input.</w:t>
            </w:r>
          </w:p>
        </w:tc>
        <w:tc>
          <w:tcPr>
            <w:tcW w:type="dxa" w:w="237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Safety guardrail; environmental protection; transparent override conditions.</w:t>
            </w:r>
          </w:p>
        </w:tc>
      </w:tr>
      <w:tr>
        <w:tc>
          <w:tcPr>
            <w:tcW w:type="dxa" w:w="158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3. Wrong or uncertain AI diagnosis</w:t>
            </w:r>
          </w:p>
        </w:tc>
        <w:tc>
          <w:tcPr>
            <w:tcW w:type="dxa" w:w="230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Gemini or the offline image analysis returns a low-confidence or incorrect plant-health assessment.</w:t>
            </w:r>
          </w:p>
        </w:tc>
        <w:tc>
          <w:tcPr>
            <w:tcW w:type="dxa" w:w="453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Output is presented as decision support, not certified diagnosis; confidence/mode is surfaced; user is directed to inspect, consult the community or seek expert confirmation before treatment. Production deployment requires expert-labelled validation.</w:t>
            </w:r>
          </w:p>
        </w:tc>
        <w:tc>
          <w:tcPr>
            <w:tcW w:type="dxa" w:w="237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Human-in-the-loop; model validation; risk disclosure; agricultural extension escalation.</w:t>
            </w:r>
          </w:p>
        </w:tc>
      </w:tr>
      <w:tr>
        <w:tc>
          <w:tcPr>
            <w:tcW w:type="dxa" w:w="158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4. Connectivity/API outage</w:t>
            </w:r>
          </w:p>
        </w:tc>
        <w:tc>
          <w:tcPr>
            <w:tcW w:type="dxa" w:w="230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The farm loses internet during diagnosis, weather retrieval or assistant use.</w:t>
            </w:r>
          </w:p>
        </w:tc>
        <w:tc>
          <w:tcPr>
            <w:tcW w:type="dxa" w:w="453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Core app continues locally. Camera analysis falls back to on-device colour analysis; weather uses documented offline climate logic; the interface states which mode is active.</w:t>
            </w:r>
          </w:p>
        </w:tc>
        <w:tc>
          <w:tcPr>
            <w:tcW w:type="dxa" w:w="237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Resilience, availability and inclusion; no silent degradation.</w:t>
            </w:r>
          </w:p>
        </w:tc>
      </w:tr>
      <w:tr>
        <w:tc>
          <w:tcPr>
            <w:tcW w:type="dxa" w:w="158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5. Data misuse / targeted advertising controversy</w:t>
            </w:r>
          </w:p>
        </w:tc>
        <w:tc>
          <w:tcPr>
            <w:tcW w:type="dxa" w:w="230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A future commercial version attempts to use farm records, diagnosis results or inferred vulnerabilities for unrelated advertising or resale.</w:t>
            </w:r>
          </w:p>
        </w:tc>
        <w:tc>
          <w:tcPr>
            <w:tcW w:type="dxa" w:w="453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Purpose-limitation and consent rules trigger. Data use is blocked unless separately lawful and consented; access is logged; offending processing is disabled and referred for governance review. Prototype keeps data local and collects no advertising profile.</w:t>
            </w:r>
          </w:p>
        </w:tc>
        <w:tc>
          <w:tcPr>
            <w:tcW w:type="dxa" w:w="237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Saudi PDPL; SDAIA governance; purpose limitation, consent, minimisation and accountability.</w:t>
            </w:r>
          </w:p>
        </w:tc>
      </w:tr>
      <w:tr>
        <w:tc>
          <w:tcPr>
            <w:tcW w:type="dxa" w:w="158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6. Regional crop mismatch</w:t>
            </w:r>
          </w:p>
        </w:tc>
        <w:tc>
          <w:tcPr>
            <w:tcW w:type="dxa" w:w="230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A crop is selected for a location whose heat/chill/soil profile is unsuitable.</w:t>
            </w:r>
          </w:p>
        </w:tc>
        <w:tc>
          <w:tcPr>
            <w:tcW w:type="dxa" w:w="453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Site is selected before seed; simulator returns a suitability warning and allows a safe simulated trial rather than field commitment.</w:t>
            </w:r>
          </w:p>
        </w:tc>
        <w:tc>
          <w:tcPr>
            <w:tcW w:type="dxa" w:w="237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3"/>
              </w:rPr>
              <w:t>Climate adaptation; evidence-based extension; local-context validation.</w:t>
            </w:r>
          </w:p>
        </w:tc>
      </w:tr>
    </w:tbl>
    <w:p>
      <w:r>
        <w:br w:type="page"/>
      </w:r>
    </w:p>
    <w:p>
      <w:pPr>
        <w:pStyle w:val="Heading1"/>
      </w:pPr>
      <w:r>
        <w:t>5. Submission Contribution, Limitations and Deployment Plan</w:t>
      </w:r>
    </w:p>
    <w:p>
      <w:pPr>
        <w:pStyle w:val="Heading2"/>
      </w:pPr>
      <w:r>
        <w:t>5.1 Knowledge-base contribution</w:t>
      </w:r>
    </w:p>
    <w:p>
      <w:pPr>
        <w:pStyle w:val="CompactBullet"/>
      </w:pPr>
      <w:r>
        <w:t xml:space="preserve">• </w:t>
      </w:r>
      <w:r>
        <w:t>505 authentic public sources: 83 AI-readiness/policy/standards sources and 422 agricultural/technical sources, with reference numbering preserved for traceability.</w:t>
      </w:r>
    </w:p>
    <w:p>
      <w:pPr>
        <w:pStyle w:val="CompactBullet"/>
      </w:pPr>
      <w:r>
        <w:t xml:space="preserve">• </w:t>
      </w:r>
      <w:r>
        <w:t>Reusable agriculture AI-readiness use-case pattern expressed in Y.3172 pipeline terms.</w:t>
      </w:r>
    </w:p>
    <w:p>
      <w:pPr>
        <w:pStyle w:val="CompactBullet"/>
      </w:pPr>
      <w:r>
        <w:t xml:space="preserve">• </w:t>
      </w:r>
      <w:r>
        <w:t>Agriculture-specific readiness rubric, crop/region climate-matching method, weather-to-action rules, plant-health prompt contract and Jazan crop scheduling defaults.</w:t>
      </w:r>
    </w:p>
    <w:p>
      <w:pPr>
        <w:pStyle w:val="CompactBullet"/>
      </w:pPr>
      <w:r>
        <w:t xml:space="preserve">• </w:t>
      </w:r>
      <w:r>
        <w:t>Policy-node safeguard pattern that checks candidate recommendations before they are surfaced to a farmer.</w:t>
      </w:r>
    </w:p>
    <w:p>
      <w:pPr>
        <w:pStyle w:val="Heading2"/>
      </w:pPr>
      <w:r>
        <w:t>5.2 Prototype limitations and disclosures</w:t>
      </w:r>
    </w:p>
    <w:p>
      <w:pPr>
        <w:pStyle w:val="CompactBullet"/>
      </w:pPr>
      <w:r>
        <w:t xml:space="preserve">• </w:t>
      </w:r>
      <w:r>
        <w:t>The M node is rule-based; no trained statistical/deep-learning model or production accuracy claim is made.</w:t>
      </w:r>
    </w:p>
    <w:p>
      <w:pPr>
        <w:pStyle w:val="CompactBullet"/>
      </w:pPr>
      <w:r>
        <w:t xml:space="preserve">• </w:t>
      </w:r>
      <w:r>
        <w:t>All farm data is illustrative. Authentication and localStorage are prototype-grade and must be replaced by a secure backend/identity layer for production.</w:t>
      </w:r>
    </w:p>
    <w:p>
      <w:pPr>
        <w:pStyle w:val="CompactBullet"/>
      </w:pPr>
      <w:r>
        <w:t xml:space="preserve">• </w:t>
      </w:r>
      <w:r>
        <w:t>Vision diagnosis has not been validated against expert plant-pathologist labels for Jazan crops; field deployment requires such validation.</w:t>
      </w:r>
    </w:p>
    <w:p>
      <w:pPr>
        <w:pStyle w:val="CompactBullet"/>
      </w:pPr>
      <w:r>
        <w:t xml:space="preserve">• </w:t>
      </w:r>
      <w:r>
        <w:t>Online weather and Gemini services are optional dependencies; offline modes are intentionally coarser and labelled as such.</w:t>
      </w:r>
    </w:p>
    <w:p>
      <w:pPr>
        <w:pStyle w:val="CompactBullet"/>
      </w:pPr>
      <w:r>
        <w:t xml:space="preserve">• </w:t>
      </w:r>
      <w:r>
        <w:t>Community content is device-local in the prototype; regional deployment requires server-side identity, moderation and governance.</w:t>
      </w:r>
    </w:p>
    <w:p>
      <w:pPr>
        <w:pStyle w:val="Heading2"/>
      </w:pPr>
      <w:r>
        <w:t>5.3 Next deployment steps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19"/>
        <w:gridCol w:w="3619"/>
        <w:gridCol w:w="3619"/>
      </w:tblGrid>
      <w:tr>
        <w:trPr>
          <w:tblHeader w:val="true"/>
        </w:trPr>
        <w:tc>
          <w:tcPr>
            <w:tcW w:type="dxa" w:w="1224"/>
            <w:shd w:fill="173F2E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rPr>
                <w:b/>
                <w:color w:val="FFFFFF"/>
                <w:sz w:val="14"/>
              </w:rPr>
              <w:t>Phase</w:t>
            </w:r>
          </w:p>
        </w:tc>
        <w:tc>
          <w:tcPr>
            <w:tcW w:type="dxa" w:w="5256"/>
            <w:shd w:fill="173F2E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rPr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4320"/>
            <w:shd w:fill="173F2E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rPr>
                <w:b/>
                <w:color w:val="FFFFFF"/>
                <w:sz w:val="14"/>
              </w:rPr>
              <w:t>Evidence of readiness</w:t>
            </w:r>
          </w:p>
        </w:tc>
      </w:tr>
      <w:tr>
        <w:tc>
          <w:tcPr>
            <w:tcW w:type="dxa" w:w="122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1. Validate</w:t>
            </w:r>
          </w:p>
        </w:tc>
        <w:tc>
          <w:tcPr>
            <w:tcW w:type="dxa" w:w="525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Pilot with agronomists and a small number of Jazan farms; validate crop rules and vision outputs.</w:t>
            </w:r>
          </w:p>
        </w:tc>
        <w:tc>
          <w:tcPr>
            <w:tcW w:type="dxa" w:w="432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Error analysis, expert agreement, documented failure modes.</w:t>
            </w:r>
          </w:p>
        </w:tc>
      </w:tr>
      <w:tr>
        <w:tc>
          <w:tcPr>
            <w:tcW w:type="dxa" w:w="122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2. Secure</w:t>
            </w:r>
          </w:p>
        </w:tc>
        <w:tc>
          <w:tcPr>
            <w:tcW w:type="dxa" w:w="525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Replace localStorage with consent-aware backend, access control, audit logs and deletion/export controls.</w:t>
            </w:r>
          </w:p>
        </w:tc>
        <w:tc>
          <w:tcPr>
            <w:tcW w:type="dxa" w:w="432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PDPL-aligned data map and security review.</w:t>
            </w:r>
          </w:p>
        </w:tc>
      </w:tr>
      <w:tr>
        <w:tc>
          <w:tcPr>
            <w:tcW w:type="dxa" w:w="122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3. Learn</w:t>
            </w:r>
          </w:p>
        </w:tc>
        <w:tc>
          <w:tcPr>
            <w:tcW w:type="dxa" w:w="525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Use consented farm records to train/validate a predictive M node while preserving surrounding Y.3172 nodes.</w:t>
            </w:r>
          </w:p>
        </w:tc>
        <w:tc>
          <w:tcPr>
            <w:tcW w:type="dxa" w:w="432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Versioned model card, validation report, rollback path.</w:t>
            </w:r>
          </w:p>
        </w:tc>
      </w:tr>
      <w:tr>
        <w:tc>
          <w:tcPr>
            <w:tcW w:type="dxa" w:w="1224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4. Scale</w:t>
            </w:r>
          </w:p>
        </w:tc>
        <w:tc>
          <w:tcPr>
            <w:tcW w:type="dxa" w:w="5256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Arabic RTL interface, wider crop coverage, extension/MEWA integration and regional dashboards.</w:t>
            </w:r>
          </w:p>
        </w:tc>
        <w:tc>
          <w:tcPr>
            <w:tcW w:type="dxa" w:w="4320"/>
            <w:tcBorders>
              <w:top w:val="single" w:sz="4" w:color="D8D2C3"/>
              <w:left w:val="single" w:sz="4" w:color="D8D2C3"/>
              <w:bottom w:val="single" w:sz="4" w:color="D8D2C3"/>
              <w:right w:val="single" w:sz="4" w:color="D8D2C3"/>
              <w:insideH w:val="single" w:sz="4" w:color="D8D2C3"/>
              <w:insideV w:val="single" w:sz="4" w:color="D8D2C3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top"/>
          </w:tcPr>
          <w:p>
            <w:pPr>
              <w:spacing w:after="10"/>
            </w:pPr>
            <w:r>
              <w:rPr>
                <w:sz w:val="14"/>
              </w:rPr>
              <w:t>Field adoption metrics, water/decision outcomes, readiness-score improvement.</w:t>
            </w:r>
          </w:p>
        </w:tc>
      </w:tr>
    </w:tbl>
    <w:p>
      <w:pPr>
        <w:pStyle w:val="Heading2"/>
      </w:pPr>
      <w:r>
        <w:t>5.4 Submission files</w:t>
      </w:r>
    </w:p>
    <w:p>
      <w:r>
        <w:t>Technical report (this document); demo video (≤7 minutes); GitHub-ready source code; 505-source Knowledge Base; AI Readiness Scorecard workbook; supporting pitch deck and extended project explanation. The final submission package groups all deliverables, including the completed demo video and the confirmed contact email.</w:t>
      </w:r>
    </w:p>
    <w:p>
      <w:r>
        <w:rPr>
          <w:b/>
        </w:rPr>
        <w:t>Project statement:</w:t>
      </w:r>
      <w:r>
        <w:t xml:space="preserve"> TerraTwin tests the decision before the crop. It measures whether a farm is ready for AI, provides a safe place to be wrong, and makes governance visible inside the same pipeline that produces the recommendation.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05" w:right="691" w:bottom="605" w:left="691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87878"/>
        <w:sz w:val="14"/>
      </w:rPr>
      <w:t xml:space="preserve">Wanas Zakri · Management Information Systems · Jazan University   </w:t>
    </w: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E6E6E"/>
        <w:sz w:val="15"/>
      </w:rPr>
      <w:t>TerraTwin · ITU AI Readiness Hackathon — Kingdom of Saudi Arabia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5" w:lineRule="auto"/>
    </w:pPr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F2E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6B5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60"/>
      <w:contextualSpacing/>
    </w:pPr>
    <w:rPr>
      <w:rFonts w:asciiTheme="majorHAnsi" w:eastAsiaTheme="majorEastAsia" w:hAnsiTheme="majorHAnsi" w:cstheme="majorBidi" w:ascii="Aptos Display" w:hAnsi="Aptos Display"/>
      <w:b/>
      <w:color w:val="173F2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Bullet">
    <w:name w:val="Compact Bullet"/>
    <w:basedOn w:val="Normal"/>
    <w:pPr>
      <w:spacing w:after="24"/>
      <w:ind w:left="230" w:hanging="158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