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女方姓名1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13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男方姓名1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6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test1</w:t>
            </w:r>
          </w:p>
        </w:tc>
        <w:tc>
          <w:tcPr>
            <w:tcW w:w="680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A</w:t>
            </w: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异常</w:t>
            </w: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3号染色体异常</w:t>
            </w: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</w:r>
          </w:p>
        </w:tc>
      </w:tr>
      <w:tr>
        <w:trPr>
          <w:trHeight w:hRule="atLeast" w:val="567"/>
        </w:trPr>
        <w:tc>
          <w:tcPr>
            <w:tcW w:type="dxa" w:w="2172"/>
            <w:vAlign w:val="bottom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  <w:tc>
          <w:tcPr>
            <w:tcW w:type="dxa" w:w="680"/>
            <w:vAlign w:val="bottom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A</w:t>
            </w:r>
          </w:p>
        </w:tc>
        <w:tc>
          <w:tcPr>
            <w:tcW w:type="dxa" w:w="3664"/>
            <w:vAlign w:val="bottom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2947"/>
            <w:vAlign w:val="bottom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1399"/>
            <w:vAlign w:val="bottom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样本编号：</w:t>
            </w: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检测结果：</w:t>
            </w: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染色体拷贝数结果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6840000" cy="307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0" cy="30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67"/>
        </w:trPr>
        <w:tc>
          <w:tcPr>
            <w:tcW w:type="dxa" w:w="10862"/>
            <w:vAlign w:val="bottom"/>
          </w:tcPr>
          <w:p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样本编号：</w:t>
            </w: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</w:tr>
      <w:tr>
        <w:trPr>
          <w:trHeight w:hRule="atLeast" w:val="567"/>
        </w:trPr>
        <w:tc>
          <w:tcPr>
            <w:tcW w:type="dxa" w:w="10862"/>
            <w:vAlign w:val="bottom"/>
          </w:tcPr>
          <w:p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检测结果：</w:t>
            </w: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</w:tr>
      <w:tr>
        <w:trPr>
          <w:trHeight w:hRule="atLeast" w:val="567"/>
        </w:trPr>
        <w:tc>
          <w:tcPr>
            <w:tcW w:type="dxa" w:w="10862"/>
            <w:vAlign w:val="bottom"/>
          </w:tcPr>
          <w:p>
            <w:r>
              <w:rPr>
                <w:rFonts w:ascii="微软雅黑" w:hAnsi="微软雅黑" w:eastAsia="微软雅黑"/>
                <w:b/>
                <w:color w:val="000000"/>
                <w:sz w:val="22"/>
              </w:rPr>
              <w:t>染色体拷贝数结果</w:t>
            </w:r>
          </w:p>
        </w:tc>
      </w:tr>
      <w:tr>
        <w:trPr>
          <w:trHeight w:hRule="atLeast" w:val="567"/>
        </w:trPr>
        <w:tc>
          <w:tcPr>
            <w:tcW w:type="dxa" w:w="1086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6840000" cy="307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0" cy="30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bottom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8990B5B"/>
    <w:rsid w:val="1CB05D8E"/>
    <w:rsid w:val="1E522E75"/>
    <w:rsid w:val="1E876FC3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48F0527"/>
    <w:rsid w:val="378D6FA0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2022-03-14T05:21:42Z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