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Noto Sans KR" w:hAnsi="Noto Sans KR" w:eastAsia="Noto Sans KR" w:cs="Noto Sans KR"/>
          <w:b w:val="0"/>
          <w:color w:val="1A202C"/>
          <w:sz w:val="22"/>
        </w:rPr>
      </w:r>
    </w:p>
    <w:p>
      <w:pPr>
        <w:spacing w:after="0"/>
      </w:pPr>
      <w:r>
        <w:rPr>
          <w:rFonts w:ascii="Noto Sans KR" w:hAnsi="Noto Sans KR" w:eastAsia="Noto Sans KR" w:cs="Noto Sans KR"/>
          <w:b w:val="0"/>
          <w:color w:val="1A202C"/>
          <w:sz w:val="22"/>
        </w:rPr>
      </w:r>
    </w:p>
    <w:p>
      <w:pPr>
        <w:spacing w:after="0"/>
      </w:pPr>
      <w:r>
        <w:rPr>
          <w:rFonts w:ascii="Noto Sans KR" w:hAnsi="Noto Sans KR" w:eastAsia="Noto Sans KR" w:cs="Noto Sans KR"/>
          <w:b w:val="0"/>
          <w:color w:val="1A202C"/>
          <w:sz w:val="22"/>
        </w:rPr>
      </w:r>
    </w:p>
    <w:p>
      <w:pPr>
        <w:spacing w:after="0"/>
      </w:pPr>
      <w:r>
        <w:rPr>
          <w:rFonts w:ascii="Noto Sans KR" w:hAnsi="Noto Sans KR" w:eastAsia="Noto Sans KR" w:cs="Noto Sans KR"/>
          <w:b w:val="0"/>
          <w:color w:val="1A202C"/>
          <w:sz w:val="22"/>
        </w:rPr>
      </w:r>
    </w:p>
    <w:p>
      <w:pPr>
        <w:spacing w:after="0"/>
      </w:pPr>
      <w:r>
        <w:rPr>
          <w:rFonts w:ascii="Noto Sans KR" w:hAnsi="Noto Sans KR" w:eastAsia="Noto Sans KR" w:cs="Noto Sans KR"/>
          <w:b w:val="0"/>
          <w:color w:val="1A202C"/>
          <w:sz w:val="22"/>
        </w:rPr>
      </w:r>
    </w:p>
    <w:p>
      <w:pPr>
        <w:spacing w:after="160"/>
        <w:jc w:val="center"/>
      </w:pPr>
      <w:r>
        <w:rPr>
          <w:rFonts w:ascii="Noto Sans KR" w:hAnsi="Noto Sans KR" w:eastAsia="Noto Sans KR" w:cs="Noto Sans KR"/>
          <w:b/>
          <w:color w:val="5B8EF8"/>
          <w:sz w:val="88"/>
        </w:rPr>
        <w:t>K-edu</w:t>
      </w:r>
    </w:p>
    <w:p>
      <w:pPr>
        <w:spacing w:after="240"/>
        <w:jc w:val="center"/>
      </w:pPr>
      <w:r>
        <w:rPr>
          <w:rFonts w:ascii="Noto Sans KR" w:hAnsi="Noto Sans KR" w:eastAsia="Noto Sans KR" w:cs="Noto Sans KR"/>
          <w:b/>
          <w:color w:val="1A202C"/>
          <w:sz w:val="56"/>
        </w:rPr>
        <w:t>개인정보 내부관리계획</w:t>
      </w:r>
    </w:p>
    <w:p>
      <w:pPr>
        <w:spacing w:after="400"/>
        <w:jc w:val="center"/>
      </w:pPr>
      <w:r>
        <w:rPr>
          <w:rFonts w:ascii="Noto Sans KR" w:hAnsi="Noto Sans KR" w:eastAsia="Noto Sans KR" w:cs="Noto Sans KR"/>
          <w:b w:val="0"/>
          <w:color w:val="718096"/>
          <w:sz w:val="32"/>
        </w:rPr>
        <w:t>v1.0</w:t>
      </w:r>
    </w:p>
    <w:p>
      <w:pPr>
        <w:spacing w:after="560"/>
        <w:jc w:val="center"/>
      </w:pPr>
      <w:r>
        <w:rPr>
          <w:rFonts w:ascii="Noto Sans KR" w:hAnsi="Noto Sans KR" w:eastAsia="Noto Sans KR" w:cs="Noto Sans KR"/>
          <w:b w:val="0"/>
          <w:color w:val="718096"/>
          <w:sz w:val="24"/>
        </w:rPr>
        <w:t>「개인정보 보호법」 제29조 · 고시 제4조에 따른 내부관리계획</w:t>
      </w:r>
    </w:p>
    <w:p>
      <w:pPr>
        <w:spacing w:after="40"/>
        <w:jc w:val="center"/>
      </w:pPr>
      <w:r>
        <w:rPr>
          <w:rFonts w:ascii="Noto Sans KR" w:hAnsi="Noto Sans KR" w:eastAsia="Noto Sans KR" w:cs="Noto Sans KR"/>
          <w:b w:val="0"/>
          <w:color w:val="718096"/>
          <w:sz w:val="22"/>
        </w:rPr>
        <w:t>발행일  ·  2026-04-30</w:t>
      </w:r>
    </w:p>
    <w:p>
      <w:pPr>
        <w:spacing w:after="40"/>
        <w:jc w:val="center"/>
      </w:pPr>
      <w:r>
        <w:rPr>
          <w:rFonts w:ascii="Noto Sans KR" w:hAnsi="Noto Sans KR" w:eastAsia="Noto Sans KR" w:cs="Noto Sans KR"/>
          <w:b w:val="0"/>
          <w:color w:val="718096"/>
          <w:sz w:val="22"/>
        </w:rPr>
        <w:t>대상  ·  K-edu 운영자(보호책임자 겸 취급자)</w:t>
      </w:r>
    </w:p>
    <w:p>
      <w:pPr>
        <w:spacing w:after="40"/>
        <w:jc w:val="center"/>
      </w:pPr>
      <w:r>
        <w:rPr>
          <w:rFonts w:ascii="Noto Sans KR" w:hAnsi="Noto Sans KR" w:eastAsia="Noto Sans KR" w:cs="Noto Sans KR"/>
          <w:b w:val="0"/>
          <w:color w:val="718096"/>
          <w:sz w:val="22"/>
        </w:rPr>
        <w:t>처리방침 정합  ·  v2.1 (2026-04-30 기준)</w:t>
      </w:r>
    </w:p>
    <w:p>
      <w:pPr>
        <w:spacing w:after="40"/>
        <w:jc w:val="center"/>
      </w:pPr>
      <w:r>
        <w:rPr>
          <w:rFonts w:ascii="Noto Sans KR" w:hAnsi="Noto Sans KR" w:eastAsia="Noto Sans KR" w:cs="Noto Sans KR"/>
          <w:b w:val="0"/>
          <w:color w:val="718096"/>
          <w:sz w:val="22"/>
        </w:rPr>
        <w:t>근거  ·  「개인정보 보호법」 제29조 + 고시 제4조 + 시행령 제30조</w:t>
      </w:r>
    </w:p>
    <w:p>
      <w:r>
        <w:br w:type="page"/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머리말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본 내부관리계획은 케이에듀(K-edu, 이하 "본 서비스")가 「개인정보 보호법」 제29조 및 같은 법 시행령 제30조, 「개인정보의 안전성 확보조치 기준」(개인정보보호위원회 고시 제2023-6호) 제4조에 따라 수립하는 정식 운영 문서입니다. 본 서비스가 처리하는 모든 개인정보의 안전한 관리에 필요한 사항을 정합니다.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0F7FF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spacing w:after="80" w:line="336" w:lineRule="auto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3"/>
              </w:rPr>
              <w:t>📌 본 계획의 위치</w:t>
            </w:r>
          </w:p>
          <w:p>
            <w:pPr>
              <w:spacing w:after="40" w:line="360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2"/>
              </w:rPr>
              <w:t>본 계획은 처리방침 v2.1과 정합하는 운영 문서로, 「학교 도입 1패키지」를 구성합니다.</w:t>
            </w:r>
          </w:p>
          <w:p>
            <w:pPr>
              <w:spacing w:after="40" w:line="360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2"/>
              </w:rPr>
              <w:t>1패키지 = 처리방침 v2.1 + 가정통신문(별지 제1호) + 본 내부관리계획 + 교사용 사용 매뉴얼.</w:t>
            </w:r>
          </w:p>
          <w:p>
            <w:pPr>
              <w:spacing w:after="40" w:line="360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2"/>
              </w:rPr>
              <w:t>처리방침 변경 시 본 계획을 동시 갱신해야 합니다(부록 3 정합 매핑표).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BE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spacing w:after="80" w:line="336" w:lineRule="auto"/>
            </w:pPr>
            <w:r>
              <w:rPr>
                <w:rFonts w:ascii="Noto Sans KR" w:hAnsi="Noto Sans KR" w:eastAsia="Noto Sans KR" w:cs="Noto Sans KR"/>
                <w:b/>
                <w:color w:val="B7791F"/>
                <w:sz w:val="23"/>
              </w:rPr>
              <w:t>⚠️ 본 계획의 적용 형태</w:t>
            </w:r>
          </w:p>
          <w:p>
            <w:pPr>
              <w:spacing w:after="40" w:line="360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2"/>
              </w:rPr>
              <w:t>본 계획은 운영자 1인 형태(보호책임자 = 취급자 겸직) + 매출 무발생 무료 단계를 기본 가정으로 합니다.</w:t>
            </w:r>
          </w:p>
          <w:p>
            <w:pPr>
              <w:spacing w:after="40" w:line="360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2"/>
              </w:rPr>
              <w:t>인력 추가, 매출 발생, 정보주체 100만명 도달 등 변경 사유 발생 시 해당 조항을 갱신합니다.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spacing w:before="200" w:after="80" w:line="336" w:lineRule="auto"/>
      </w:pPr>
      <w:r>
        <w:rPr>
          <w:rFonts w:ascii="Noto Sans KR" w:hAnsi="Noto Sans KR" w:eastAsia="Noto Sans KR" w:cs="Noto Sans KR"/>
          <w:b/>
          <w:color w:val="3B6FD8"/>
          <w:sz w:val="24"/>
        </w:rPr>
        <w:t>문서 정보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항목</w:t>
            </w:r>
          </w:p>
        </w:tc>
        <w:tc>
          <w:tcPr>
            <w:tcW w:type="dxa" w:w="7087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내용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버전</w:t>
            </w:r>
          </w:p>
        </w:tc>
        <w:tc>
          <w:tcPr>
            <w:tcW w:type="dxa" w:w="7087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v1.0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작성일</w:t>
            </w:r>
          </w:p>
        </w:tc>
        <w:tc>
          <w:tcPr>
            <w:tcW w:type="dxa" w:w="7087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2026년 4월 30일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시행일</w:t>
            </w:r>
          </w:p>
        </w:tc>
        <w:tc>
          <w:tcPr>
            <w:tcW w:type="dxa" w:w="7087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처리방침 v2.1 시행일과 동일(별도 공고일 기준)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근거 법령</w:t>
            </w:r>
          </w:p>
        </w:tc>
        <w:tc>
          <w:tcPr>
            <w:tcW w:type="dxa" w:w="7087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「개인정보 보호법」 제29조, 같은 법 시행령 제30조, 고시 제2023-6호 제4조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대상 처리시스템</w:t>
            </w:r>
          </w:p>
        </w:tc>
        <w:tc>
          <w:tcPr>
            <w:tcW w:type="dxa" w:w="7087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K-edu 학습지원 SW 전 영역(학생·학부모·교사·운영자 4단 권한)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적용 범위</w:t>
            </w:r>
          </w:p>
        </w:tc>
        <w:tc>
          <w:tcPr>
            <w:tcW w:type="dxa" w:w="7087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교사·학부모 회원, 학생 닉네임·학급 정보·학습 데이터, 자동수집 정보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목차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제1조.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목적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제2조.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적용 범위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제3조.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용어의 정의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제4조.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개인정보 보호책임자 및 개인정보 취급자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제5조.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개인정보 취급자에 대한 교육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제6조.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개인정보 처리시스템의 접근권한 관리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제7조.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접근 통제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제8조.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개인정보의 암호화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제9조.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접속기록의 보관 및 점검 (T21 흡수)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제10조.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악성프로그램 등 방지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제11조.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물리적 안전조치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제12조.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재해·재난 대비 안전조치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제13조.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개인정보 유출사고 대응 계획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제14조.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위험도 분석 및 대응방안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제15조.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개인정보 처리업무 위탁 관리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제16조.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개인정보의 파기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제17조.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점검 및 개선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제18조.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변경 이력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제19조.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부칙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부록 A.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의무 점검 항목 매핑표 (고시 제4조 제1항 15개 호)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부록 B.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기록부 양식 목록 (8종)</w:t>
      </w:r>
    </w:p>
    <w:p>
      <w:pPr>
        <w:spacing w:after="40" w:line="360" w:lineRule="auto"/>
      </w:pPr>
      <w:r>
        <w:rPr>
          <w:rFonts w:ascii="Noto Sans KR" w:hAnsi="Noto Sans KR" w:eastAsia="Noto Sans KR" w:cs="Noto Sans KR"/>
          <w:b/>
          <w:color w:val="3B6FD8"/>
          <w:sz w:val="22"/>
        </w:rPr>
        <w:t>부록 C.</w:t>
        <w:tab/>
      </w:r>
      <w:r>
        <w:rPr>
          <w:rFonts w:ascii="Noto Sans KR" w:hAnsi="Noto Sans KR" w:eastAsia="Noto Sans KR" w:cs="Noto Sans KR"/>
          <w:b/>
          <w:color w:val="1A202C"/>
          <w:sz w:val="22"/>
        </w:rPr>
        <w:t>처리방침 v2.1 정합 매핑표</w:t>
      </w:r>
    </w:p>
    <w:p>
      <w:r>
        <w:br w:type="page"/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제1조  목적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본 내부관리계획은 「개인정보 보호법」(이하 "법") 및 「개인정보의 안전성 확보조치 기준」(이하 "고시")에 따라 본 서비스가 처리하는 개인정보의 안전한 관리를 위해 필요한 사항을 정함을 목적으로 한다.</w:t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제2조  적용 범위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본 계획은 다음에 적용한다.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1.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본 서비스가 처리하는 모든 개인정보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2.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본 서비스가 운영하는 모든 개인정보 처리시스템(Supabase·Vercel·k-edu-phi.vercel.app·keduclass.com)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3.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개인정보 보호책임자 및 개인정보 취급자(현재 1인 — 운영자 본인)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4.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개인정보 처리업무를 위탁받은 수탁자(Supabase Inc., Vercel Inc.)</w:t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제3조  용어의 정의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본 계획에서 사용하는 용어의 정의는 법 제2조 및 고시 제2조를 따르되, 별도로 정의되지 않은 용어는 다음과 같다.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1.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운영자 — 본 서비스를 단독 운영하는 자연인. 현재 최준호 1인.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2.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개인정보 처리시스템 — 데이터베이스(Supabase PostgreSQL), 인증(Supabase Auth), 호스팅(Vercel), 도메인(카페24)을 포함한 일체의 자동 처리 시스템.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3.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학년 와이프 — 매년 2월 28일 자정(KST)에 학생 닉네임·학급 정보·학습 데이터·학급코드를 일괄 자동 삭제하는 절차(처리방침 v2.1 제4조).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4.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4단 권한 — 학생·학부모·교사·운영자의 행 수준 보안(RLS) 4계층 권한 분리(처리방침 v2.1 제3조 3, 제9조 2).</w:t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제4조  개인정보 보호책임자 및 개인정보 취급자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1)  개인정보 보호책임자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구분</w:t>
            </w:r>
          </w:p>
        </w:tc>
        <w:tc>
          <w:tcPr>
            <w:tcW w:type="dxa" w:w="7087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내용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성명</w:t>
            </w:r>
          </w:p>
        </w:tc>
        <w:tc>
          <w:tcPr>
            <w:tcW w:type="dxa" w:w="7087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최준호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직책</w:t>
            </w:r>
          </w:p>
        </w:tc>
        <w:tc>
          <w:tcPr>
            <w:tcW w:type="dxa" w:w="7087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운영자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이메일</w:t>
            </w:r>
          </w:p>
        </w:tc>
        <w:tc>
          <w:tcPr>
            <w:tcW w:type="dxa" w:w="7087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wnsghrrj@sen.go.kr (무료 단계 임시. 유료 토글 활성화 시 privacy@keduclass.com 갱신)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지정 근거</w:t>
            </w:r>
          </w:p>
        </w:tc>
        <w:tc>
          <w:tcPr>
            <w:tcW w:type="dxa" w:w="7087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법 제31조, 처리방침 v2.1 제10조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2)  개인정보 취급자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본 서비스는 1인 운영 형태로, 개인정보 보호책임자가 개인정보 취급자를 겸한다. 별도 직원·계약자·자원봉사자가 개인정보 처리시스템에 접근하지 않는다.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추후 인력 추가 시 본 조를 갱신하고 다음 절차를 신설한다.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개인정보 취급자 지정 신청서 작성 및 보호책임자 승인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비밀유지 서약서 체결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접근 권한 차등 부여(법 제29조, 고시 제5조)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본 계획 제5조 교육 의무 적용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3)  보호책임자의 책임과 역할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법 제31조 제3항에 따라 다음 업무를 수행한다.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1.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개인정보 보호 계획의 수립 및 시행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2.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개인정보 처리 실태 및 관행의 정기적인 조사 및 개선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3.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개인정보 처리와 관련한 불만의 처리 및 피해 구제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4.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개인정보 유출 및 오·남용 방지를 위한 내부통제시스템의 구축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5.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개인정보 보호 교육 계획의 수립 및 시행(자가 교육 포함)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6.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개인정보파일의 보호 및 관리·감독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7.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그 밖에 개인정보의 적절한 처리를 위하여 대통령령으로 정한 업무</w:t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제5조  개인정보 취급자에 대한 교육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1)  교육 주기 및 방법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주기 — 연 1회 이상(매년 1분기 중 실시)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추가 — 법령·고시 개정, 침해사고 발생, 위탁업체 변경 시 비정기 추가 교육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방법 — 1인 운영이므로 자가 학습 형태로 갈음. 교육 내용은 보호책임자가 직접 수집·정리하고 본 계획 부속 기록부에 보관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2)  교육 내용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「개인정보 보호법」 및 시행령·시행규칙 개정 사항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「개인정보의 안전성 확보조치 기준」 고시 개정 사항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「초·중등교육법」 제29조의2(2026.3.1. 시행) 및 교육부 「학습지원 소프트웨어 선정기준 및 가이드라인」(2025.12.29.) 개정 사항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개인정보보호위원회 표준 가이드라인 및 자율 점검표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침해사고 사례 및 대응 절차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정보주체 권리 행사(법 제35조~제37조) 처리 절차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3)  교육 기록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매 회 교육 후 다음 사항을 기록·보관(보관 기간 3년).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교육 일시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교육 자료 출처(URL·문서명)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학습 요지 3~5줄 요약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적용 사항(본 계획·처리방침·코드 갱신 필요 여부)</w:t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제6조  개인정보 처리시스템의 접근권한 관리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1)  접근권한 분리 (4단 RLS)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본 서비스는 개인정보 처리시스템에 다음 4단 권한을 적용한다(처리방침 v2.1 제3조 3, 제9조 2).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134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권한</w:t>
            </w:r>
          </w:p>
        </w:tc>
        <w:tc>
          <w:tcPr>
            <w:tcW w:type="dxa" w:w="3118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접근 범위</w:t>
            </w:r>
          </w:p>
        </w:tc>
        <w:tc>
          <w:tcPr>
            <w:tcW w:type="dxa" w:w="4819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적용 정책(예시)</w:t>
            </w:r>
          </w:p>
        </w:tc>
      </w:tr>
      <w:tr>
        <w:tc>
          <w:tcPr>
            <w:tcW w:type="dxa" w:w="113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학생</w:t>
            </w:r>
          </w:p>
        </w:tc>
        <w:tc>
          <w:tcPr>
            <w:tcW w:type="dxa" w:w="311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본인 데이터만 SELECT/UPDATE</w:t>
            </w:r>
          </w:p>
        </w:tc>
        <w:tc>
          <w:tcPr>
            <w:tcW w:type="dxa" w:w="481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sp_read_own, sp_update_own (UPDATE WITH CHECK 강제)</w:t>
            </w:r>
          </w:p>
        </w:tc>
      </w:tr>
      <w:tr>
        <w:tc>
          <w:tcPr>
            <w:tcW w:type="dxa" w:w="113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학부모</w:t>
            </w:r>
          </w:p>
        </w:tc>
        <w:tc>
          <w:tcPr>
            <w:tcW w:type="dxa" w:w="311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본인 자녀(parent_student_links.verified_at IS NOT NULL) 데이터만 SELECT</w:t>
            </w:r>
          </w:p>
        </w:tc>
        <w:tc>
          <w:tcPr>
            <w:tcW w:type="dxa" w:w="481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sp_parent_read, scores_parent_read, wrong_answers_parent_read, homework_assignments_parent_read</w:t>
            </w:r>
          </w:p>
        </w:tc>
      </w:tr>
      <w:tr>
        <w:tc>
          <w:tcPr>
            <w:tcW w:type="dxa" w:w="113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교사</w:t>
            </w:r>
          </w:p>
        </w:tc>
        <w:tc>
          <w:tcPr>
            <w:tcW w:type="dxa" w:w="311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본인 학급코드 학생 데이터만 SELECT/UPDATE/DELETE</w:t>
            </w:r>
          </w:p>
        </w:tc>
        <w:tc>
          <w:tcPr>
            <w:tcW w:type="dxa" w:w="481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sp_teacher_read_class, sp_teacher_update_class (WITH CHECK 강제), sp_teacher_delete_class</w:t>
            </w:r>
          </w:p>
        </w:tc>
      </w:tr>
      <w:tr>
        <w:tc>
          <w:tcPr>
            <w:tcW w:type="dxa" w:w="113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운영자</w:t>
            </w:r>
          </w:p>
        </w:tc>
        <w:tc>
          <w:tcPr>
            <w:tcW w:type="dxa" w:w="311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전체 통계 SELECT(식별정보 제거 후) + 어드민 작업</w:t>
            </w:r>
          </w:p>
        </w:tc>
        <w:tc>
          <w:tcPr>
            <w:tcW w:type="dxa" w:w="481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sp_admin_read_all, sp_admin_update_all, sp_admin_delete_all, is_admin() 함수 게이트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2)  접근권한 부여·변경·말소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부여 — 회원가입 시 user_metadata.role에 따라 자동 부여(teacher / parent / admin / student(익명))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변경 — 운영자가 SQL Editor에서 update auth.users set raw_user_meta_data = … 직접 변경. 변경 즉시 본 계획 부속 [접근권한 변경 기록부]에 기록(변경 일시·대상·변경 전후 권한·사유)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말소 — 회원 탈퇴 또는 학년 종료(학생) 시 자동 말소. 보유 기간 경과 후 자동 와이프(처리방침 v2.1 제4조)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3)  접근권한 정기 점검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주기 — 분기 1회(3·6·9·12월 마지막 주)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점검 내용:</w:t>
      </w:r>
    </w:p>
    <w:p>
      <w:pPr>
        <w:spacing w:after="40" w:line="348" w:lineRule="auto"/>
        <w:ind w:left="624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◦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is_admin() 함수에 등록된 어드민 UUID 목록 vs 운영자 본인 UUID 일치 여부</w:t>
      </w:r>
    </w:p>
    <w:p>
      <w:pPr>
        <w:spacing w:after="40" w:line="348" w:lineRule="auto"/>
        <w:ind w:left="624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◦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pg_policies 71개 정책 vs setup_diagnosis_v2.sql + setup_rls_audit_fix.sql 정의 일치 여부 (diff)</w:t>
      </w:r>
    </w:p>
    <w:p>
      <w:pPr>
        <w:spacing w:after="40" w:line="348" w:lineRule="auto"/>
        <w:ind w:left="624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◦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auth.users 중 role IS NULL 또는 비표준 role 값 행 0건 확인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결과 보관 — 점검 결과는 본 계획 부속 [접근권한 점검 기록부]에 기록(점검 일시·항목·결과·조치)</w:t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제7조  접근 통제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1)  외부 접근 통제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모든 개인정보 처리시스템 접근은 HTTPS(TLS 1.2 이상) 암호화 채널로만 허용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Supabase Dashboard 접근은 운영자 계정의 2단계 인증(MFA) 필수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Vercel Dashboard 접근은 운영자 계정의 2단계 인증(MFA) 필수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GitHub 저장소(wnsghrrj3-rgb/k-edu, wnsghrrj3-rgb/handoff, wnsghrrj3-rgb/naije) 접근은 운영자 계정의 2단계 인증(MFA) 필수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PAT(Personal Access Token)·API Key는 환경변수에 저장하고 코드 저장소에 평문 노출 금지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2)  비인가 접근 차단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학습 페이지(/grade1~6/, /english/)는 무로그인 진입 시 인증 페이지로 자동 리다이렉트(tracker.js PROTECTED 정규식)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/auth/, /parent/, /teacher/, /admin/ 페이지는 적합한 role 보유자만 접근(클라이언트 게이트 + 서버 RLS 이중 차단)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학생 진입 흐름은 학급코드 + 닉네임 + 동의 3중 게이트 통과 후에만 signInAnonymously 호출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3)  IP 제한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현재 1인 운영으로 별도 IP 화이트리스트는 적용하지 않는다. 향후 인력 추가 시 본 조를 갱신한다.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4)  인터넷망 분리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0F7FF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spacing w:after="80" w:line="336" w:lineRule="auto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3"/>
              </w:rPr>
              <w:t>📌 고시 제6조 제2항 미적용 근거</w:t>
            </w:r>
          </w:p>
          <w:p>
            <w:pPr>
              <w:spacing w:after="40" w:line="360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2"/>
              </w:rPr>
              <w:t>고시 제6조 제2항(인터넷망 분리)은 정보주체 100만명 또는 매출 100억원 이상 사업자에게 적용되는 의무이다.</w:t>
            </w:r>
          </w:p>
          <w:p>
            <w:pPr>
              <w:spacing w:after="40" w:line="360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2"/>
              </w:rPr>
              <w:t>본 서비스는 양 기준 모두 미해당이므로 인터넷망 분리 의무 미적용.</w:t>
            </w:r>
          </w:p>
          <w:p>
            <w:pPr>
              <w:spacing w:after="40" w:line="360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2"/>
              </w:rPr>
              <w:t>기준 도달 시 본 조를 갱신한다.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제8조  개인정보의 암호화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1)  비밀번호 일방향 암호화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대상 — 교사 회원, 학부모 회원, 어드민 비밀번호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방법 — Supabase Auth의 표준 비밀번호 해시 함수(bcrypt 호환) 단방향 암호화 저장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검증 — auth.users.encrypted_password 컬럼이 평문이 아닌 해시 값임을 분기 점검 시 확인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2)  전송 구간 암호화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모든 처리시스템 진출입은 TLS 1.2 이상 적용(Vercel·Supabase 기본 정책)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HTTP → HTTPS 자동 리다이렉트(Vercel 기본 정책)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3)  저장 구간 암호화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고유식별정보(주민등록번호·여권번호·운전면허번호·외국인등록번호) — 수집·저장하지 않음 → 암호화 의무 미발생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민감정보(법 제23조) — 수집·저장하지 않음 → 암호화 의무 미발생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이메일·기타 식별정보 — 현재 평문 저장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BE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spacing w:after="80" w:line="336" w:lineRule="auto"/>
            </w:pPr>
            <w:r>
              <w:rPr>
                <w:rFonts w:ascii="Noto Sans KR" w:hAnsi="Noto Sans KR" w:eastAsia="Noto Sans KR" w:cs="Noto Sans KR"/>
                <w:b/>
                <w:color w:val="B7791F"/>
                <w:sz w:val="23"/>
              </w:rPr>
              <w:t>⚠️ T19 잔여 작업 — 컬럼 단위 암호화 검토</w:t>
            </w:r>
          </w:p>
          <w:p>
            <w:pPr>
              <w:spacing w:after="40" w:line="360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2"/>
              </w:rPr>
              <w:t>이메일 등 식별정보의 컬럼 단위 암호화(pgcrypto)는 향후 다음 사유 발생 시 도입을 검토한다.</w:t>
            </w:r>
          </w:p>
          <w:p>
            <w:pPr>
              <w:spacing w:after="40" w:line="360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2"/>
              </w:rPr>
              <w:t>(가) 운영 인력 확장 (나) 침해사고 또는 사고 위험 평가 결과 高 등급 도출 (다) 정보주체 100만명 도달.</w:t>
            </w:r>
          </w:p>
          <w:p>
            <w:pPr>
              <w:spacing w:after="40" w:line="360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2"/>
              </w:rPr>
              <w:t>현 단계에서는 4단 RLS + Supabase Trust + TLS 1.2 + bcrypt로 위험을 통제한다.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4)  백업 데이터 암호화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Supabase 자동 백업은 사업자 측 암호화 정책에 따른다(Supabase Trust 페이지 명시)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운영자가 별도 외부 백업을 수행할 경우 백업 매체 자체에 AES-256 이상 암호화 적용</w:t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제9조  접속기록의 보관 및 점검 (T21 흡수)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0FFF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spacing w:after="80" w:line="336" w:lineRule="auto"/>
            </w:pPr>
            <w:r>
              <w:rPr>
                <w:rFonts w:ascii="Noto Sans KR" w:hAnsi="Noto Sans KR" w:eastAsia="Noto Sans KR" w:cs="Noto Sans KR"/>
                <w:b/>
                <w:color w:val="2F855C"/>
                <w:sz w:val="23"/>
              </w:rPr>
              <w:t>💡 T21 본 조 흡수</w:t>
            </w:r>
          </w:p>
          <w:p>
            <w:pPr>
              <w:spacing w:after="40" w:line="360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2"/>
              </w:rPr>
              <w:t>고시 제8조(접속기록의 보관 및 점검)는 내부관리계획 제4조 의무 항목의 한 호이므로 별도 SOP를 두지 않고 본 조에 흡수했다.</w:t>
            </w:r>
          </w:p>
          <w:p>
            <w:pPr>
              <w:spacing w:after="40" w:line="360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2"/>
              </w:rPr>
              <w:t>흡수 후에도 보관 대상(5계층) · 보관 기간 · 위·변조 방지(4호) · 분기 점검(5항목) 모두 명시.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1)  접속기록 보관</w:t>
      </w:r>
    </w:p>
    <w:p>
      <w:pPr>
        <w:spacing w:before="200" w:after="80" w:line="336" w:lineRule="auto"/>
      </w:pPr>
      <w:r>
        <w:rPr>
          <w:rFonts w:ascii="Noto Sans KR" w:hAnsi="Noto Sans KR" w:eastAsia="Noto Sans KR" w:cs="Noto Sans KR"/>
          <w:b/>
          <w:color w:val="3B6FD8"/>
          <w:sz w:val="24"/>
        </w:rPr>
        <w:t>가.  보관 대상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시스템</w:t>
            </w:r>
          </w:p>
        </w:tc>
        <w:tc>
          <w:tcPr>
            <w:tcW w:type="dxa" w:w="4252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기록 항목</w:t>
            </w:r>
          </w:p>
        </w:tc>
        <w:tc>
          <w:tcPr>
            <w:tcW w:type="dxa" w:w="2835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보관 위치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Supabase Auth</w:t>
            </w:r>
          </w:p>
        </w:tc>
        <w:tc>
          <w:tcPr>
            <w:tcW w:type="dxa" w:w="425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로그인 시도, 성공/실패, IP, User-Agent, 일시</w:t>
            </w:r>
          </w:p>
        </w:tc>
        <w:tc>
          <w:tcPr>
            <w:tcW w:type="dxa" w:w="28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auth.audit_log_entries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Supabase PostgREST</w:t>
            </w:r>
          </w:p>
        </w:tc>
        <w:tc>
          <w:tcPr>
            <w:tcW w:type="dxa" w:w="425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API 호출(엔드포인트·메서드·응답 코드), 일시</w:t>
            </w:r>
          </w:p>
        </w:tc>
        <w:tc>
          <w:tcPr>
            <w:tcW w:type="dxa" w:w="28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Supabase Dashboard → Logs → API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Supabase Database</w:t>
            </w:r>
          </w:p>
        </w:tc>
        <w:tc>
          <w:tcPr>
            <w:tcW w:type="dxa" w:w="425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SELECT/INSERT/UPDATE/DELETE, 사용자 UUID, 일시</w:t>
            </w:r>
          </w:p>
        </w:tc>
        <w:tc>
          <w:tcPr>
            <w:tcW w:type="dxa" w:w="28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Supabase Dashboard → Logs → Database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Vercel Edge</w:t>
            </w:r>
          </w:p>
        </w:tc>
        <w:tc>
          <w:tcPr>
            <w:tcW w:type="dxa" w:w="425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HTTP 요청 경로, 메서드, 상태 코드, IP, 일시</w:t>
            </w:r>
          </w:p>
        </w:tc>
        <w:tc>
          <w:tcPr>
            <w:tcW w:type="dxa" w:w="28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Vercel Dashboard → Logs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권리 행사 감사 로그</w:t>
            </w:r>
          </w:p>
        </w:tc>
        <w:tc>
          <w:tcPr>
            <w:tcW w:type="dxa" w:w="425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data_requests INSERT/UPDATE 이력</w:t>
            </w:r>
          </w:p>
        </w:tc>
        <w:tc>
          <w:tcPr>
            <w:tcW w:type="dxa" w:w="28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data_requests 테이블 (3년 보관, 처리방침 v2.1 제4조)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spacing w:before="200" w:after="80" w:line="336" w:lineRule="auto"/>
      </w:pPr>
      <w:r>
        <w:rPr>
          <w:rFonts w:ascii="Noto Sans KR" w:hAnsi="Noto Sans KR" w:eastAsia="Noto Sans KR" w:cs="Noto Sans KR"/>
          <w:b/>
          <w:color w:val="3B6FD8"/>
          <w:sz w:val="24"/>
        </w:rPr>
        <w:t>나.  보관 기간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118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구분</w:t>
            </w:r>
          </w:p>
        </w:tc>
        <w:tc>
          <w:tcPr>
            <w:tcW w:type="dxa" w:w="1701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보관 기간</w:t>
            </w:r>
          </w:p>
        </w:tc>
        <w:tc>
          <w:tcPr>
            <w:tcW w:type="dxa" w:w="4252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근거</w:t>
            </w:r>
          </w:p>
        </w:tc>
      </w:tr>
      <w:tr>
        <w:tc>
          <w:tcPr>
            <w:tcW w:type="dxa" w:w="311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접속기록 일반</w:t>
            </w:r>
          </w:p>
        </w:tc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3개월</w:t>
            </w:r>
          </w:p>
        </w:tc>
        <w:tc>
          <w:tcPr>
            <w:tcW w:type="dxa" w:w="425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통신비밀보호법 시행령 제41조 + 고시 제8조 제1항</w:t>
            </w:r>
          </w:p>
        </w:tc>
      </w:tr>
      <w:tr>
        <w:tc>
          <w:tcPr>
            <w:tcW w:type="dxa" w:w="311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권리 행사 이력 (data_requests)</w:t>
            </w:r>
          </w:p>
        </w:tc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3년</w:t>
            </w:r>
          </w:p>
        </w:tc>
        <w:tc>
          <w:tcPr>
            <w:tcW w:type="dxa" w:w="425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처리방침 v2.1 제4조 — 분쟁 대응 및 법적 근거 입증</w:t>
            </w:r>
          </w:p>
        </w:tc>
      </w:tr>
      <w:tr>
        <w:tc>
          <w:tcPr>
            <w:tcW w:type="dxa" w:w="311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동의 이력 및 처리 기록</w:t>
            </w:r>
          </w:p>
        </w:tc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3년</w:t>
            </w:r>
          </w:p>
        </w:tc>
        <w:tc>
          <w:tcPr>
            <w:tcW w:type="dxa" w:w="425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처리방침 v2.1 제4조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spacing w:before="200" w:after="80" w:line="336" w:lineRule="auto"/>
      </w:pPr>
      <w:r>
        <w:rPr>
          <w:rFonts w:ascii="Noto Sans KR" w:hAnsi="Noto Sans KR" w:eastAsia="Noto Sans KR" w:cs="Noto Sans KR"/>
          <w:b/>
          <w:color w:val="3B6FD8"/>
          <w:sz w:val="24"/>
        </w:rPr>
        <w:t>다.  위·변조 방지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Supabase·Vercel 모두 운영자 단독 관리자 계정을 통해서만 로그 조회 가능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로그 삭제·변조 시 사업자 측 감사 로그(provider-side audit)에 기록되어 외부 추적 가능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분기 1회 로그 다운로드 후 별도 보관(다음 항 라목)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data_requests 테이블 — RLS로 본인·검증된 학부모·본인 학급 교사·어드민만 SELECT 가능. INSERT는 SECURITY DEFINER RPC만 가능(직접 INSERT 차단). UPDATE는 어드민만 가능(dr_admin_update)</w:t>
      </w:r>
    </w:p>
    <w:p>
      <w:pPr>
        <w:spacing w:before="200" w:after="80" w:line="336" w:lineRule="auto"/>
      </w:pPr>
      <w:r>
        <w:rPr>
          <w:rFonts w:ascii="Noto Sans KR" w:hAnsi="Noto Sans KR" w:eastAsia="Noto Sans KR" w:cs="Noto Sans KR"/>
          <w:b/>
          <w:color w:val="3B6FD8"/>
          <w:sz w:val="24"/>
        </w:rPr>
        <w:t>라.  분기별 백업 보관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분기 1회(3·6·9·12월 마지막 주) Supabase Logs → Database·API·Auth 영역 CSV 다운로드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다운로드 파일명 — kedu-logs-YYYY-Q{1~4}.zip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보관 위치 — 운영자 개인 클라우드 스토리지(접근 통제·암호화 적용된 매체)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보관 기간 — 1년(접속기록 3개월 의무 + 추가 9개월 안전 마진)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2)  접속기록 점검</w:t>
      </w:r>
    </w:p>
    <w:p>
      <w:pPr>
        <w:spacing w:before="200" w:after="80" w:line="336" w:lineRule="auto"/>
      </w:pPr>
      <w:r>
        <w:rPr>
          <w:rFonts w:ascii="Noto Sans KR" w:hAnsi="Noto Sans KR" w:eastAsia="Noto Sans KR" w:cs="Noto Sans KR"/>
          <w:b/>
          <w:color w:val="3B6FD8"/>
          <w:sz w:val="24"/>
        </w:rPr>
        <w:t>가.  점검 주기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분기 1회(3·6·9·12월 마지막 주)</w:t>
      </w:r>
    </w:p>
    <w:p>
      <w:pPr>
        <w:spacing w:before="200" w:after="80" w:line="336" w:lineRule="auto"/>
      </w:pPr>
      <w:r>
        <w:rPr>
          <w:rFonts w:ascii="Noto Sans KR" w:hAnsi="Noto Sans KR" w:eastAsia="Noto Sans KR" w:cs="Noto Sans KR"/>
          <w:b/>
          <w:color w:val="3B6FD8"/>
          <w:sz w:val="24"/>
        </w:rPr>
        <w:t>나.  점검 항목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항목</w:t>
            </w:r>
          </w:p>
        </w:tc>
        <w:tc>
          <w:tcPr>
            <w:tcW w:type="dxa" w:w="6520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확인 내용</w:t>
            </w:r>
          </w:p>
        </w:tc>
      </w:tr>
      <w:tr>
        <w:tc>
          <w:tcPr>
            <w:tcW w:type="dxa" w:w="255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비정상 접근</w:t>
            </w:r>
          </w:p>
        </w:tc>
        <w:tc>
          <w:tcPr>
            <w:tcW w:type="dxa" w:w="652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운영자 외 어드민 계정의 PostgREST API 호출 0건</w:t>
            </w:r>
          </w:p>
        </w:tc>
      </w:tr>
      <w:tr>
        <w:tc>
          <w:tcPr>
            <w:tcW w:type="dxa" w:w="255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실패 로그인 폭증</w:t>
            </w:r>
          </w:p>
        </w:tc>
        <w:tc>
          <w:tcPr>
            <w:tcW w:type="dxa" w:w="652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동일 IP 24시간 내 100회 이상 로그인 실패 시 차단 검토</w:t>
            </w:r>
          </w:p>
        </w:tc>
      </w:tr>
      <w:tr>
        <w:tc>
          <w:tcPr>
            <w:tcW w:type="dxa" w:w="255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권한 오용</w:t>
            </w:r>
          </w:p>
        </w:tc>
        <w:tc>
          <w:tcPr>
            <w:tcW w:type="dxa" w:w="652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학생/학부모/교사 계정에서 어드민 함수(is_admin, delete_student_data 등) 호출 시도 0건</w:t>
            </w:r>
          </w:p>
        </w:tc>
      </w:tr>
      <w:tr>
        <w:tc>
          <w:tcPr>
            <w:tcW w:type="dxa" w:w="255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RLS 정책 위반</w:t>
            </w:r>
          </w:p>
        </w:tc>
        <w:tc>
          <w:tcPr>
            <w:tcW w:type="dxa" w:w="652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PostgREST 401/403 응답 비율 모니터링</w:t>
            </w:r>
          </w:p>
        </w:tc>
      </w:tr>
      <w:tr>
        <w:tc>
          <w:tcPr>
            <w:tcW w:type="dxa" w:w="255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학년 와이프 자동화</w:t>
            </w:r>
          </w:p>
        </w:tc>
        <w:tc>
          <w:tcPr>
            <w:tcW w:type="dxa" w:w="652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매년 2월 28일 자정 pg_cron 실행 결과 확인(처리방침 v2.1 부록 2)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spacing w:before="200" w:after="80" w:line="336" w:lineRule="auto"/>
      </w:pPr>
      <w:r>
        <w:rPr>
          <w:rFonts w:ascii="Noto Sans KR" w:hAnsi="Noto Sans KR" w:eastAsia="Noto Sans KR" w:cs="Noto Sans KR"/>
          <w:b/>
          <w:color w:val="3B6FD8"/>
          <w:sz w:val="24"/>
        </w:rPr>
        <w:t>다.  점검 결과 처리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점검 결과는 본 계획 부속 [접속기록 점검 기록부]에 기록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비정상 접근 또는 권한 오용 발견 시 다음 조치:</w:t>
      </w:r>
    </w:p>
    <w:p>
      <w:pPr>
        <w:spacing w:after="40" w:line="348" w:lineRule="auto"/>
        <w:ind w:left="624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◦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해당 사용자 즉시 차단(auth.users.banned_until 설정 또는 삭제)</w:t>
      </w:r>
    </w:p>
    <w:p>
      <w:pPr>
        <w:spacing w:after="40" w:line="348" w:lineRule="auto"/>
        <w:ind w:left="624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◦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본 계획 제13조 침해사고 대응 절차 발동</w:t>
      </w:r>
    </w:p>
    <w:p>
      <w:pPr>
        <w:spacing w:after="40" w:line="348" w:lineRule="auto"/>
        <w:ind w:left="624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◦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정보주체 통지 의무 발생 시 처리방침 v2.1 제12조에 따라 처리</w:t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제10조  악성프로그램 등 방지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1)  운영자 단말 보안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개인정보 처리시스템 접근에 사용하는 운영자 단말(노트북·데스크톱)은 다음 조치를 유지한다.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최신 OS 보안 업데이트 적용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백신 소프트웨어 상시 가동(맥OS 기본 XProtect / 윈도우 Defender 또는 동급 이상)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운영자 외 사용 차단(가족 계정 분리)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2)  코드 의존성 보안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package.json/package-lock.json 의존성은 분기 1회 npm audit 실행하여 high·critical 취약점 0건 유지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발견 시 즉시 패치 또는 대체 라이브러리 검토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3)  외부 스크립트 차단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클라이언트 페이지에 외부 트래커·광고·통계 스크립트 미삽입(처리방침 v2.1 제2조 — 자동수집 정보 명시 항목 외 수집 금지).</w:t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제11조  물리적 안전조치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1)  클라우드 인프라 의존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본 서비스는 자체 서버실·전산실을 운영하지 않음. 모든 개인정보 처리시스템은 Supabase·Vercel의 클라우드 데이터센터에 위치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Supabase·Vercel은 ISO 27001 등 국제 보안 인증을 보유한 데이터센터를 사용(처리방침 v2.1 제9조 3))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2)  운영자 단말 물리 보안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운영자 단말은 잠금 화면·자동 절전 잠금(15분 이내) 적용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외부 노출 시 단말 자체 잠금 + 도난 시 원격 와이프 가능 상태 유지(맥OS Find My / 윈도우 Find My Device 활성화)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3)  출력물 관리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개인정보 출력물은 원칙적으로 생성하지 않음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부득이 출력 시(학교 요청 자료 등) 생성 즉시 정보주체 본인 또는 위임 학교에 인계, 운영자 보관본은 작성 목적 달성 즉시 파쇄</w:t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제12조  재해·재난 대비 안전조치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1)  백업 및 복구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자동 백업 — Supabase 기본 자동 백업(일 1회) + Point-in-Time Recovery(PITR, 사업자 정책에 따른 7일 이내 복원 가능)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수동 백업 — 분기 1회 pg_dump 형태 운영자 별도 보관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2)  복구 목표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RTO(복구 목표 시간) — 24시간 이내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RPO(복구 목표 시점) — 24시간 이내(자동 백업 1일 1회 기준)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3)  침해사고와 재해사고 분리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본 계획 제13조는 침해사고(외부 공격·내부 오용·유출) 대응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본 조는 재해사고(데이터센터 장애·자연재해·사업자 폐업) 대응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양 사고가 동시 발생 시 침해사고 대응 우선</w:t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제13조  개인정보 유출사고 대응 계획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1)  사고 분류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17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등급</w:t>
            </w:r>
          </w:p>
        </w:tc>
        <w:tc>
          <w:tcPr>
            <w:tcW w:type="dxa" w:w="4819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정의</w:t>
            </w:r>
          </w:p>
        </w:tc>
        <w:tc>
          <w:tcPr>
            <w:tcW w:type="dxa" w:w="2835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대응 절차</w:t>
            </w:r>
          </w:p>
        </w:tc>
      </w:tr>
      <w:tr>
        <w:tc>
          <w:tcPr>
            <w:tcW w:type="dxa" w:w="1417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중대 (법 제34조)</w:t>
            </w:r>
          </w:p>
        </w:tc>
        <w:tc>
          <w:tcPr>
            <w:tcW w:type="dxa" w:w="481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1천명 이상 정보주체 정보 유출, 민감정보·고유식별정보 유출, 외부 공격에 의한 시스템 침해</w:t>
            </w:r>
          </w:p>
        </w:tc>
        <w:tc>
          <w:tcPr>
            <w:tcW w:type="dxa" w:w="28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1)~6) 전 절차 + 개인정보보호위원회·KISA 신고</w:t>
            </w:r>
          </w:p>
        </w:tc>
      </w:tr>
      <w:tr>
        <w:tc>
          <w:tcPr>
            <w:tcW w:type="dxa" w:w="1417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일반</w:t>
            </w:r>
          </w:p>
        </w:tc>
        <w:tc>
          <w:tcPr>
            <w:tcW w:type="dxa" w:w="481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1천명 미만 정보주체 정보 유출, 단순 권한 오용, 시스템 일시 오작동</w:t>
            </w:r>
          </w:p>
        </w:tc>
        <w:tc>
          <w:tcPr>
            <w:tcW w:type="dxa" w:w="28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1)~5) 절차</w:t>
            </w:r>
          </w:p>
        </w:tc>
      </w:tr>
      <w:tr>
        <w:tc>
          <w:tcPr>
            <w:tcW w:type="dxa" w:w="1417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경미</w:t>
            </w:r>
          </w:p>
        </w:tc>
        <w:tc>
          <w:tcPr>
            <w:tcW w:type="dxa" w:w="481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운영자 본인의 단순 조작 실수, 외부 노출 없음</w:t>
            </w:r>
          </w:p>
        </w:tc>
        <w:tc>
          <w:tcPr>
            <w:tcW w:type="dxa" w:w="28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1)~3) 절차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2)  대응 절차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1.  </w:t>
      </w:r>
      <w:r>
        <w:rPr>
          <w:rFonts w:ascii="Noto Sans KR" w:hAnsi="Noto Sans KR" w:eastAsia="Noto Sans KR" w:cs="Noto Sans KR"/>
          <w:b/>
          <w:color w:val="1A202C"/>
          <w:sz w:val="22"/>
        </w:rPr>
        <w:t xml:space="preserve">즉시 차단 —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사고 인지 즉시 해당 시스템·계정·기능 접근 차단(어드민 권한 일시 회수, 영향 RLS 정책 일시 수정)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2.  </w:t>
      </w:r>
      <w:r>
        <w:rPr>
          <w:rFonts w:ascii="Noto Sans KR" w:hAnsi="Noto Sans KR" w:eastAsia="Noto Sans KR" w:cs="Noto Sans KR"/>
          <w:b/>
          <w:color w:val="1A202C"/>
          <w:sz w:val="22"/>
        </w:rPr>
        <w:t xml:space="preserve">사실관계 조사 —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사고 발생 시점·범위·원인·영향 받은 정보주체 식별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3.  </w:t>
      </w:r>
      <w:r>
        <w:rPr>
          <w:rFonts w:ascii="Noto Sans KR" w:hAnsi="Noto Sans KR" w:eastAsia="Noto Sans KR" w:cs="Noto Sans KR"/>
          <w:b/>
          <w:color w:val="1A202C"/>
          <w:sz w:val="22"/>
        </w:rPr>
        <w:t xml:space="preserve">내부 기록 —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[침해사고 기록부]에 기록(사고 일시·인지 일시·원인·범위·조치·종결 일시)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4.  </w:t>
      </w:r>
      <w:r>
        <w:rPr>
          <w:rFonts w:ascii="Noto Sans KR" w:hAnsi="Noto Sans KR" w:eastAsia="Noto Sans KR" w:cs="Noto Sans KR"/>
          <w:b/>
          <w:color w:val="1A202C"/>
          <w:sz w:val="22"/>
        </w:rPr>
        <w:t xml:space="preserve">정보주체 통지 —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처리방침 v2.1 제12조에 따라 학교 채널로 통지(트랙 A 단독 운영 기간) 또는 학부모·교사 회원 직접 통지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5.  </w:t>
      </w:r>
      <w:r>
        <w:rPr>
          <w:rFonts w:ascii="Noto Sans KR" w:hAnsi="Noto Sans KR" w:eastAsia="Noto Sans KR" w:cs="Noto Sans KR"/>
          <w:b/>
          <w:color w:val="1A202C"/>
          <w:sz w:val="22"/>
        </w:rPr>
        <w:t xml:space="preserve">재발 방지 조치 —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본 계획·처리방침·코드 갱신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6.  </w:t>
      </w:r>
      <w:r>
        <w:rPr>
          <w:rFonts w:ascii="Noto Sans KR" w:hAnsi="Noto Sans KR" w:eastAsia="Noto Sans KR" w:cs="Noto Sans KR"/>
          <w:b/>
          <w:color w:val="1A202C"/>
          <w:sz w:val="22"/>
        </w:rPr>
        <w:t xml:space="preserve">신고 —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중대 사고 시 개인정보보호위원회(privacy.go.kr) 및 한국인터넷진흥원(KISA, privacy.kisa.or.kr 또는 118) 72시간 이내 신고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3)  신고 채널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채널</w:t>
            </w:r>
          </w:p>
        </w:tc>
        <w:tc>
          <w:tcPr>
            <w:tcW w:type="dxa" w:w="6236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연락처</w:t>
            </w:r>
          </w:p>
        </w:tc>
      </w:tr>
      <w:tr>
        <w:tc>
          <w:tcPr>
            <w:tcW w:type="dxa" w:w="28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개인정보보호위원회</w:t>
            </w:r>
          </w:p>
        </w:tc>
        <w:tc>
          <w:tcPr>
            <w:tcW w:type="dxa" w:w="623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privacy.go.kr  /  1833-6972</w:t>
            </w:r>
          </w:p>
        </w:tc>
      </w:tr>
      <w:tr>
        <w:tc>
          <w:tcPr>
            <w:tcW w:type="dxa" w:w="28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한국인터넷진흥원</w:t>
            </w:r>
          </w:p>
        </w:tc>
        <w:tc>
          <w:tcPr>
            <w:tcW w:type="dxa" w:w="623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국번없이 118  /  privacy.kisa.or.kr</w:t>
            </w:r>
          </w:p>
        </w:tc>
      </w:tr>
      <w:tr>
        <w:tc>
          <w:tcPr>
            <w:tcW w:type="dxa" w:w="28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경찰청 사이버수사국</w:t>
            </w:r>
          </w:p>
        </w:tc>
        <w:tc>
          <w:tcPr>
            <w:tcW w:type="dxa" w:w="623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ecrm.cyber.go.kr  /  국번없이 182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4)  모의훈련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1인 운영 형태로 별도 인원 동원 모의훈련은 미실시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대신 연 1회 본 계획 제13조 절차 1)~6)을 책상 위 시뮬레이션(보호책임자 단독)으로 점검하고 결과를 [침해사고 모의 기록부]에 기록</w:t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제14조  위험도 분석 및 대응방안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1)  위험 분석 주기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정기 — 연 1회(매년 1분기 중)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비정기 — 다음 중 하나 발생 시:</w:t>
      </w:r>
    </w:p>
    <w:p>
      <w:pPr>
        <w:spacing w:after="40" w:line="348" w:lineRule="auto"/>
        <w:ind w:left="624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◦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처리시스템 구조 변경(스키마 변경, RLS 정책 추가·삭제)</w:t>
      </w:r>
    </w:p>
    <w:p>
      <w:pPr>
        <w:spacing w:after="40" w:line="348" w:lineRule="auto"/>
        <w:ind w:left="624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◦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신규 위탁업체 도입</w:t>
      </w:r>
    </w:p>
    <w:p>
      <w:pPr>
        <w:spacing w:after="40" w:line="348" w:lineRule="auto"/>
        <w:ind w:left="624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◦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침해사고 발생 후</w:t>
      </w:r>
    </w:p>
    <w:p>
      <w:pPr>
        <w:spacing w:after="40" w:line="348" w:lineRule="auto"/>
        <w:ind w:left="624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◦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법령·고시 개정 시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2)  위험 분석 항목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영역</w:t>
            </w:r>
          </w:p>
        </w:tc>
        <w:tc>
          <w:tcPr>
            <w:tcW w:type="dxa" w:w="5386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점검 항목</w:t>
            </w:r>
          </w:p>
        </w:tc>
        <w:tc>
          <w:tcPr>
            <w:tcW w:type="dxa" w:w="1701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빈도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인증</w:t>
            </w:r>
          </w:p>
        </w:tc>
        <w:tc>
          <w:tcPr>
            <w:tcW w:type="dxa" w:w="538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Anonymous sign-ins 활성 여부, MFA 적용 여부</w:t>
            </w:r>
          </w:p>
        </w:tc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분기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권한</w:t>
            </w:r>
          </w:p>
        </w:tc>
        <w:tc>
          <w:tcPr>
            <w:tcW w:type="dxa" w:w="538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RLS 정책 71개 vs 정의 일치 여부</w:t>
            </w:r>
          </w:p>
        </w:tc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분기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처리 시스템</w:t>
            </w:r>
          </w:p>
        </w:tc>
        <w:tc>
          <w:tcPr>
            <w:tcW w:type="dxa" w:w="538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Supabase·Vercel 상태 페이지 점검</w:t>
            </w:r>
          </w:p>
        </w:tc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월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위탁업체</w:t>
            </w:r>
          </w:p>
        </w:tc>
        <w:tc>
          <w:tcPr>
            <w:tcW w:type="dxa" w:w="538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DPA 체결 상태, 보안 인증 갱신 여부</w:t>
            </w:r>
          </w:p>
        </w:tc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연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코드 의존성</w:t>
            </w:r>
          </w:p>
        </w:tc>
        <w:tc>
          <w:tcPr>
            <w:tcW w:type="dxa" w:w="538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npm audit 결과</w:t>
            </w:r>
          </w:p>
        </w:tc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분기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처리방침-코드 정합</w:t>
            </w:r>
          </w:p>
        </w:tc>
        <w:tc>
          <w:tcPr>
            <w:tcW w:type="dxa" w:w="538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처리방침 v2.1 부록 2 검증표 vs 실제 SQL/코드 diff</w:t>
            </w:r>
          </w:p>
        </w:tc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분기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학년 와이프</w:t>
            </w:r>
          </w:p>
        </w:tc>
        <w:tc>
          <w:tcPr>
            <w:tcW w:type="dxa" w:w="538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pg_cron 등록 상태 + 직전 실행 결과</w:t>
            </w:r>
          </w:p>
        </w:tc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매년 2월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3)  위험도 등급 및 대응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850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등급</w:t>
            </w:r>
          </w:p>
        </w:tc>
        <w:tc>
          <w:tcPr>
            <w:tcW w:type="dxa" w:w="4535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정의</w:t>
            </w:r>
          </w:p>
        </w:tc>
        <w:tc>
          <w:tcPr>
            <w:tcW w:type="dxa" w:w="3685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대응</w:t>
            </w:r>
          </w:p>
        </w:tc>
      </w:tr>
      <w:tr>
        <w:tc>
          <w:tcPr>
            <w:tcW w:type="dxa" w:w="85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상</w:t>
            </w:r>
          </w:p>
        </w:tc>
        <w:tc>
          <w:tcPr>
            <w:tcW w:type="dxa" w:w="45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즉시 사고 가능성, 정보주체 권리 침해 가능성</w:t>
            </w:r>
          </w:p>
        </w:tc>
        <w:tc>
          <w:tcPr>
            <w:tcW w:type="dxa" w:w="368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24시간 이내 차단 또는 패치, 본 계획 + 처리방침 동시 갱신</w:t>
            </w:r>
          </w:p>
        </w:tc>
      </w:tr>
      <w:tr>
        <w:tc>
          <w:tcPr>
            <w:tcW w:type="dxa" w:w="85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중</w:t>
            </w:r>
          </w:p>
        </w:tc>
        <w:tc>
          <w:tcPr>
            <w:tcW w:type="dxa" w:w="45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잠재적 위험, 사고 시 영향 큼</w:t>
            </w:r>
          </w:p>
        </w:tc>
        <w:tc>
          <w:tcPr>
            <w:tcW w:type="dxa" w:w="368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1주 이내 패치</w:t>
            </w:r>
          </w:p>
        </w:tc>
      </w:tr>
      <w:tr>
        <w:tc>
          <w:tcPr>
            <w:tcW w:type="dxa" w:w="85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하</w:t>
            </w:r>
          </w:p>
        </w:tc>
        <w:tc>
          <w:tcPr>
            <w:tcW w:type="dxa" w:w="45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잠재적 위험, 사고 시 영향 작음</w:t>
            </w:r>
          </w:p>
        </w:tc>
        <w:tc>
          <w:tcPr>
            <w:tcW w:type="dxa" w:w="368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다음 정기 점검 시 갱신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4)  위험 분석 결과 보관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[위험도 분석 기록부]에 기록(분석 일시·대상·발견 위험·등급·조치·완료 일시)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보관 기간 3년</w:t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제15조  개인정보 처리업무 위탁 관리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1)  위탁 현황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984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수탁업체</w:t>
            </w:r>
          </w:p>
        </w:tc>
        <w:tc>
          <w:tcPr>
            <w:tcW w:type="dxa" w:w="3685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위탁업무</w:t>
            </w:r>
          </w:p>
        </w:tc>
        <w:tc>
          <w:tcPr>
            <w:tcW w:type="dxa" w:w="1417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보유 위치</w:t>
            </w:r>
          </w:p>
        </w:tc>
        <w:tc>
          <w:tcPr>
            <w:tcW w:type="dxa" w:w="1984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DPA 체결 상태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Supabase Inc.</w:t>
            </w:r>
          </w:p>
        </w:tc>
        <w:tc>
          <w:tcPr>
            <w:tcW w:type="dxa" w:w="368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데이터베이스 호스팅 및 인증 인프라</w:t>
            </w:r>
          </w:p>
        </w:tc>
        <w:tc>
          <w:tcPr>
            <w:tcW w:type="dxa" w:w="1417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미국</w:t>
            </w:r>
          </w:p>
        </w:tc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체결 예정(자가점검 T17)</w:t>
            </w:r>
          </w:p>
        </w:tc>
      </w:tr>
      <w:tr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Vercel Inc.</w:t>
            </w:r>
          </w:p>
        </w:tc>
        <w:tc>
          <w:tcPr>
            <w:tcW w:type="dxa" w:w="368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웹 호스팅 및 콘텐츠 전송(CDN)</w:t>
            </w:r>
          </w:p>
        </w:tc>
        <w:tc>
          <w:tcPr>
            <w:tcW w:type="dxa" w:w="1417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글로벌</w:t>
            </w:r>
          </w:p>
        </w:tc>
        <w:tc>
          <w:tcPr>
            <w:tcW w:type="dxa" w:w="198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체결 예정(자가점검 T18)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2)  수탁자 관리·감독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계약 시점 — 위탁계약(또는 DPA) 체결 시 다음 사항을 명시한다.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위탁업무 수행 목적 외 개인정보 처리 금지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기술적·관리적 보호조치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재위탁 제한 또는 사전 승인 절차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수탁자에 대한 관리·감독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손해배상 책임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운영 중 — 다음 조치를 정기 수행한다.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분기 1회 수탁업체 보안 인증(SOC 2, ISO 27001 등) 갱신 여부 확인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분기 1회 수탁업체 보안 사고 공지 모니터링(Supabase Trust Page, Vercel Status Page)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연 1회 DPA 갱신 또는 재확인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3)  재위탁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본 서비스가 보유한 직접 위탁업체(Supabase, Vercel)는 자체 글로벌 인프라(AWS 등)에 재위탁한다. 이는 각 업체의 표준 약관에 명시되어 있으며, 본 서비스는 가입 시 이를 인지하고 동의하였다.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재위탁업체의 보안 책임은 1차 수탁업체가 본 서비스에 대해 부담한다(연쇄 책임)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4)  국외 이전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Supabase(미국), Vercel(글로벌) 모두 국외 이전에 해당. 처리방침 v2.1 제6조에 따라 정보주체 동의(트랙 A 단독: 가정통신문 일괄 동의)를 받음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향후 국내 사업자로 전환 시 본 조 갱신</w:t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제16조  개인정보의 파기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1)  파기 사유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685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사유</w:t>
            </w:r>
          </w:p>
        </w:tc>
        <w:tc>
          <w:tcPr>
            <w:tcW w:type="dxa" w:w="5386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처리</w:t>
            </w:r>
          </w:p>
        </w:tc>
      </w:tr>
      <w:tr>
        <w:tc>
          <w:tcPr>
            <w:tcW w:type="dxa" w:w="368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보유 기간 경과(처리방침 v2.1 제4조)</w:t>
            </w:r>
          </w:p>
        </w:tc>
        <w:tc>
          <w:tcPr>
            <w:tcW w:type="dxa" w:w="538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자동 파기</w:t>
            </w:r>
          </w:p>
        </w:tc>
      </w:tr>
      <w:tr>
        <w:tc>
          <w:tcPr>
            <w:tcW w:type="dxa" w:w="368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처리 목적 달성</w:t>
            </w:r>
          </w:p>
        </w:tc>
        <w:tc>
          <w:tcPr>
            <w:tcW w:type="dxa" w:w="538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자동 파기</w:t>
            </w:r>
          </w:p>
        </w:tc>
      </w:tr>
      <w:tr>
        <w:tc>
          <w:tcPr>
            <w:tcW w:type="dxa" w:w="368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정보주체 삭제 요구(법 제36조)</w:t>
            </w:r>
          </w:p>
        </w:tc>
        <w:tc>
          <w:tcPr>
            <w:tcW w:type="dxa" w:w="538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delete_student_data() SECURITY DEFINER RPC + p_full_delete 모드(처리방침 v2.1 제8조 5항)</w:t>
            </w:r>
          </w:p>
        </w:tc>
      </w:tr>
      <w:tr>
        <w:tc>
          <w:tcPr>
            <w:tcW w:type="dxa" w:w="368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회원 탈퇴</w:t>
            </w:r>
          </w:p>
        </w:tc>
        <w:tc>
          <w:tcPr>
            <w:tcW w:type="dxa" w:w="538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자동 파기</w:t>
            </w:r>
          </w:p>
        </w:tc>
      </w:tr>
      <w:tr>
        <w:tc>
          <w:tcPr>
            <w:tcW w:type="dxa" w:w="368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학년 종료</w:t>
            </w:r>
          </w:p>
        </w:tc>
        <w:tc>
          <w:tcPr>
            <w:tcW w:type="dxa" w:w="538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학년 와이프 자동 파기(매년 2월 28일 자정 KST)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2)  파기 방법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전자적 파기 — SQL DELETE 또는 UPDATE로 익명화. pg_cron 자동 실행 또는 RPC 호출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물리적 파기 — 출력물은 분쇄(파쇄)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백업 파기 — 자동 백업은 사업자 정책(Supabase 7일 PITR)에 따라 자동 만료. 수동 백업은 보유 기간 경과 시 운영자가 직접 삭제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3)  파기 절차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학년 와이프(매년 2월 28일 자정)는 pg_cron에 등록된 wipe_yearly() 함수가 자동 실행한다. 절차는 처리방침 v2.1 부록 2 검증표를 따른다.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4)  파기 기록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학년 와이프 — pg_cron.job_run_details 테이블에 자동 기록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권리 행사 삭제 — data_requests 테이블에 자동 기록(처리방침 v2.1 제8조 1)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회원 탈퇴 — auth.audit_log_entries에 자동 기록</w:t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제17조  점검 및 개선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1)  자체 점검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주기 — 연 1회(매년 1분기 중)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점검 도구 — 자가점검 마스터 표(handoff kedu/2026-04-27_kedu_적합성_자가점검.md) — P0~P3 33~34개 작업 항목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점검 결과 — [자체 점검 기록부]에 기록 + 본 계획·처리방침·코드 갱신 사항 도출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2)  외부 검증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사업자등록 미보유 1인 운영 형태 + 매출 무발생 무료 단계 — 「개인정보 보호법」 의무 외부 평가(영향평가·관리수준 진단) 미해당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향후 매출 발생·인력 확장·정보주체 100만명 이상 도달 시 본 조를 갱신하여 외부 검증 절차 추가</w:t>
      </w:r>
    </w:p>
    <w:p>
      <w:pPr>
        <w:pStyle w:val="Heading2"/>
        <w:spacing w:before="280" w:after="120" w:line="336" w:lineRule="auto"/>
        <w:pBdr>
          <w:left w:val="single" w:sz="24" w:space="6" w:color="5B8EF8"/>
        </w:pBdr>
        <w:ind w:left="170"/>
      </w:pPr>
      <w:r>
        <w:rPr>
          <w:rFonts w:ascii="Noto Sans KR" w:hAnsi="Noto Sans KR" w:eastAsia="Noto Sans KR" w:cs="Noto Sans KR"/>
          <w:b/>
          <w:color w:val="1A202C"/>
          <w:sz w:val="28"/>
        </w:rPr>
        <w:t>3)  처리방침-코드 정합 점검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처리방침 v2.1 부록 2 검증표를 분기 1회 갱신</w:t>
      </w:r>
    </w:p>
    <w:p>
      <w:pPr>
        <w:spacing w:after="40" w:line="348" w:lineRule="auto"/>
        <w:ind w:left="340"/>
      </w:pPr>
      <w:r>
        <w:rPr>
          <w:rFonts w:ascii="Noto Sans KR" w:hAnsi="Noto Sans KR" w:eastAsia="Noto Sans KR" w:cs="Noto Sans KR"/>
          <w:b/>
          <w:color w:val="3B6FD8"/>
          <w:sz w:val="22"/>
        </w:rPr>
        <w:t xml:space="preserve">•  </w:t>
      </w:r>
      <w:r>
        <w:rPr>
          <w:rFonts w:ascii="Noto Sans KR" w:hAnsi="Noto Sans KR" w:eastAsia="Noto Sans KR" w:cs="Noto Sans KR"/>
          <w:b w:val="0"/>
          <w:color w:val="1A202C"/>
          <w:sz w:val="22"/>
        </w:rPr>
        <w:t>사이클별로 SOT(Source of Truth) 동기화 작업을 별도 사이클로 처리(handoff 사이클 ㊳·㊸·㊽ 패턴)</w:t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제18조  변경 이력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134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버전</w:t>
            </w:r>
          </w:p>
        </w:tc>
        <w:tc>
          <w:tcPr>
            <w:tcW w:type="dxa" w:w="1701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일자</w:t>
            </w:r>
          </w:p>
        </w:tc>
        <w:tc>
          <w:tcPr>
            <w:tcW w:type="dxa" w:w="6236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주요 변경</w:t>
            </w:r>
          </w:p>
        </w:tc>
      </w:tr>
      <w:tr>
        <w:tc>
          <w:tcPr>
            <w:tcW w:type="dxa" w:w="113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v1.0</w:t>
            </w:r>
          </w:p>
        </w:tc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2026-04-30</w:t>
            </w:r>
          </w:p>
        </w:tc>
        <w:tc>
          <w:tcPr>
            <w:tcW w:type="dxa" w:w="623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신설. 처리방침 v2.1과 정합. T21(접속기록 보관 정책)을 제9조에 흡수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제19조  부칙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본 계획은 처리방침 v2.1 시행일과 동시에 시행한다.</w:t>
      </w:r>
    </w:p>
    <w:p>
      <w:r>
        <w:br w:type="page"/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부록 A  의무 점검 항목 매핑표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「개인정보의 안전성 확보조치 기준」 고시 제4조 제1항 각 호 의무 항목 ↔ 본 계획 매핑. 15개 호 100% 커버.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01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고시 제4조 제1항 호</w:t>
            </w:r>
          </w:p>
        </w:tc>
        <w:tc>
          <w:tcPr>
            <w:tcW w:type="dxa" w:w="5102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의무 항목</w:t>
            </w:r>
          </w:p>
        </w:tc>
        <w:tc>
          <w:tcPr>
            <w:tcW w:type="dxa" w:w="2268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본 계획 조항</w:t>
            </w:r>
          </w:p>
        </w:tc>
      </w:tr>
      <w:tr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1</w:t>
            </w:r>
          </w:p>
        </w:tc>
        <w:tc>
          <w:tcPr>
            <w:tcW w:type="dxa" w:w="51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개인정보 보호책임자 지정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제4조 1)·3)</w:t>
            </w:r>
          </w:p>
        </w:tc>
      </w:tr>
      <w:tr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2</w:t>
            </w:r>
          </w:p>
        </w:tc>
        <w:tc>
          <w:tcPr>
            <w:tcW w:type="dxa" w:w="51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보호책임자·취급자의 역할 및 책임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제4조</w:t>
            </w:r>
          </w:p>
        </w:tc>
      </w:tr>
      <w:tr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3</w:t>
            </w:r>
          </w:p>
        </w:tc>
        <w:tc>
          <w:tcPr>
            <w:tcW w:type="dxa" w:w="51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개인정보 취급자에 대한 교육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제5조</w:t>
            </w:r>
          </w:p>
        </w:tc>
      </w:tr>
      <w:tr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4</w:t>
            </w:r>
          </w:p>
        </w:tc>
        <w:tc>
          <w:tcPr>
            <w:tcW w:type="dxa" w:w="51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개인정보의 안전한 처리를 위한 내부통제 시스템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제6조·제7조·제17조</w:t>
            </w:r>
          </w:p>
        </w:tc>
      </w:tr>
      <w:tr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5</w:t>
            </w:r>
          </w:p>
        </w:tc>
        <w:tc>
          <w:tcPr>
            <w:tcW w:type="dxa" w:w="51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개인정보 처리시스템의 접근권한 관리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제6조</w:t>
            </w:r>
          </w:p>
        </w:tc>
      </w:tr>
      <w:tr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6</w:t>
            </w:r>
          </w:p>
        </w:tc>
        <w:tc>
          <w:tcPr>
            <w:tcW w:type="dxa" w:w="51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접근 통제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제7조</w:t>
            </w:r>
          </w:p>
        </w:tc>
      </w:tr>
      <w:tr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7</w:t>
            </w:r>
          </w:p>
        </w:tc>
        <w:tc>
          <w:tcPr>
            <w:tcW w:type="dxa" w:w="51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개인정보의 암호화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제8조</w:t>
            </w:r>
          </w:p>
        </w:tc>
      </w:tr>
      <w:tr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8</w:t>
            </w:r>
          </w:p>
        </w:tc>
        <w:tc>
          <w:tcPr>
            <w:tcW w:type="dxa" w:w="51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접속기록의 보관 및 점검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제9조</w:t>
            </w:r>
          </w:p>
        </w:tc>
      </w:tr>
      <w:tr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9</w:t>
            </w:r>
          </w:p>
        </w:tc>
        <w:tc>
          <w:tcPr>
            <w:tcW w:type="dxa" w:w="51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악성프로그램 등 방지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제10조</w:t>
            </w:r>
          </w:p>
        </w:tc>
      </w:tr>
      <w:tr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10</w:t>
            </w:r>
          </w:p>
        </w:tc>
        <w:tc>
          <w:tcPr>
            <w:tcW w:type="dxa" w:w="51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물리적 안전조치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제11조</w:t>
            </w:r>
          </w:p>
        </w:tc>
      </w:tr>
      <w:tr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11</w:t>
            </w:r>
          </w:p>
        </w:tc>
        <w:tc>
          <w:tcPr>
            <w:tcW w:type="dxa" w:w="51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개인정보 유출사고 대응 계획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제13조</w:t>
            </w:r>
          </w:p>
        </w:tc>
      </w:tr>
      <w:tr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12</w:t>
            </w:r>
          </w:p>
        </w:tc>
        <w:tc>
          <w:tcPr>
            <w:tcW w:type="dxa" w:w="51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위험도 분석 및 대응방안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제14조</w:t>
            </w:r>
          </w:p>
        </w:tc>
      </w:tr>
      <w:tr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13</w:t>
            </w:r>
          </w:p>
        </w:tc>
        <w:tc>
          <w:tcPr>
            <w:tcW w:type="dxa" w:w="51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재해·재난 대비 안전조치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제12조</w:t>
            </w:r>
          </w:p>
        </w:tc>
      </w:tr>
      <w:tr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14</w:t>
            </w:r>
          </w:p>
        </w:tc>
        <w:tc>
          <w:tcPr>
            <w:tcW w:type="dxa" w:w="51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처리업무 위탁 시 수탁자 관리·감독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제15조</w:t>
            </w:r>
          </w:p>
        </w:tc>
      </w:tr>
      <w:tr>
        <w:tc>
          <w:tcPr>
            <w:tcW w:type="dxa" w:w="1701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15</w:t>
            </w:r>
          </w:p>
        </w:tc>
        <w:tc>
          <w:tcPr>
            <w:tcW w:type="dxa" w:w="51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그 밖에 개인정보 보호를 위해 필요한 사항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제16조·제17조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부록 B  기록부 양식 목록 (8종)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본 계획 운영을 위해 다음 기록부를 운영자가 직접 작성·보관(보관 기간 3년).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402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기록부</w:t>
            </w:r>
          </w:p>
        </w:tc>
        <w:tc>
          <w:tcPr>
            <w:tcW w:type="dxa" w:w="3402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근거 조항</w:t>
            </w:r>
          </w:p>
        </w:tc>
        <w:tc>
          <w:tcPr>
            <w:tcW w:type="dxa" w:w="2268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작성 주기</w:t>
            </w:r>
          </w:p>
        </w:tc>
      </w:tr>
      <w:tr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교육 기록부</w:t>
            </w:r>
          </w:p>
        </w:tc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제5조 3)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매 회 교육 후</w:t>
            </w:r>
          </w:p>
        </w:tc>
      </w:tr>
      <w:tr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접근권한 변경 기록부</w:t>
            </w:r>
          </w:p>
        </w:tc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제6조 2)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변경 시마다</w:t>
            </w:r>
          </w:p>
        </w:tc>
      </w:tr>
      <w:tr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접근권한 점검 기록부</w:t>
            </w:r>
          </w:p>
        </w:tc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제6조 3)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분기 1회</w:t>
            </w:r>
          </w:p>
        </w:tc>
      </w:tr>
      <w:tr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접속기록 점검 기록부</w:t>
            </w:r>
          </w:p>
        </w:tc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제9조 2) 다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분기 1회</w:t>
            </w:r>
          </w:p>
        </w:tc>
      </w:tr>
      <w:tr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침해사고 기록부</w:t>
            </w:r>
          </w:p>
        </w:tc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제13조 2) 3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사고 발생 시</w:t>
            </w:r>
          </w:p>
        </w:tc>
      </w:tr>
      <w:tr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침해사고 모의 기록부</w:t>
            </w:r>
          </w:p>
        </w:tc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제13조 4)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연 1회</w:t>
            </w:r>
          </w:p>
        </w:tc>
      </w:tr>
      <w:tr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위험도 분석 기록부</w:t>
            </w:r>
          </w:p>
        </w:tc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제14조 4)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정기·비정기 분석 시마다</w:t>
            </w:r>
          </w:p>
        </w:tc>
      </w:tr>
      <w:tr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자체 점검 기록부</w:t>
            </w:r>
          </w:p>
        </w:tc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제17조 1)</w:t>
            </w:r>
          </w:p>
        </w:tc>
        <w:tc>
          <w:tcPr>
            <w:tcW w:type="dxa" w:w="22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연 1회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pStyle w:val="Heading1"/>
        <w:spacing w:before="360" w:after="200" w:line="336" w:lineRule="auto"/>
      </w:pPr>
      <w:r>
        <w:rPr>
          <w:rFonts w:ascii="Noto Sans KR" w:hAnsi="Noto Sans KR" w:eastAsia="Noto Sans KR" w:cs="Noto Sans KR"/>
          <w:b/>
          <w:color w:val="3B6FD8"/>
          <w:sz w:val="36"/>
        </w:rPr>
        <w:t>부록 C  처리방침 v2.1 정합 매핑표</w:t>
      </w:r>
    </w:p>
    <w:p>
      <w:pPr>
        <w:spacing w:after="80" w:before="0" w:line="372" w:lineRule="auto"/>
      </w:pPr>
      <w:r>
        <w:rPr>
          <w:rFonts w:ascii="Noto Sans KR" w:hAnsi="Noto Sans KR" w:eastAsia="Noto Sans KR" w:cs="Noto Sans KR"/>
          <w:b w:val="0"/>
          <w:color w:val="1A202C"/>
          <w:sz w:val="22"/>
        </w:rPr>
        <w:t>본 계획 조항 ↔ 처리방침 v2.1 본문 정합 매핑. 한쪽 변경 시 양방향 동기화 필요.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402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본 계획 조항</w:t>
            </w:r>
          </w:p>
        </w:tc>
        <w:tc>
          <w:tcPr>
            <w:tcW w:type="dxa" w:w="5669"/>
            <w:shd w:val="clear" w:color="auto" w:fill="EBF4FF"/>
            <w:tcBorders>
              <w:top w:val="single" w:sz="6" w:space="0" w:color="C9DCEF"/>
              <w:left w:val="single" w:sz="6" w:space="0" w:color="C9DCEF"/>
              <w:bottom w:val="single" w:sz="6" w:space="0" w:color="C9DCEF"/>
              <w:right w:val="single" w:sz="6" w:space="0" w:color="C9DCEF"/>
            </w:tcBorders>
            <w:vAlign w:val="center"/>
          </w:tcPr>
          <w:p>
            <w:pPr>
              <w:spacing w:after="0" w:line="312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color w:val="3B6FD8"/>
                <w:sz w:val="21"/>
              </w:rPr>
              <w:t>처리방침 v2.1 조항</w:t>
            </w:r>
          </w:p>
        </w:tc>
      </w:tr>
      <w:tr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제4조 1) 보호책임자</w:t>
            </w:r>
          </w:p>
        </w:tc>
        <w:tc>
          <w:tcPr>
            <w:tcW w:type="dxa" w:w="566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제10조</w:t>
            </w:r>
          </w:p>
        </w:tc>
      </w:tr>
      <w:tr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제5조 교육</w:t>
            </w:r>
          </w:p>
        </w:tc>
        <w:tc>
          <w:tcPr>
            <w:tcW w:type="dxa" w:w="566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제9조 1) — 관리적 조치</w:t>
            </w:r>
          </w:p>
        </w:tc>
      </w:tr>
      <w:tr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제6조 접근권한 4단 RLS</w:t>
            </w:r>
          </w:p>
        </w:tc>
        <w:tc>
          <w:tcPr>
            <w:tcW w:type="dxa" w:w="566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제3조 3, 제9조 2)</w:t>
            </w:r>
          </w:p>
        </w:tc>
      </w:tr>
      <w:tr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제7조 접근 통제</w:t>
            </w:r>
          </w:p>
        </w:tc>
        <w:tc>
          <w:tcPr>
            <w:tcW w:type="dxa" w:w="566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제9조 2) — 학습 페이지 무로그인 차단</w:t>
            </w:r>
          </w:p>
        </w:tc>
      </w:tr>
      <w:tr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제8조 암호화</w:t>
            </w:r>
          </w:p>
        </w:tc>
        <w:tc>
          <w:tcPr>
            <w:tcW w:type="dxa" w:w="566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제9조 2) — bcrypt·TLS</w:t>
            </w:r>
          </w:p>
        </w:tc>
      </w:tr>
      <w:tr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제9조 접속기록</w:t>
            </w:r>
          </w:p>
        </w:tc>
        <w:tc>
          <w:tcPr>
            <w:tcW w:type="dxa" w:w="566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제4조(보유기간) + 제9조 2)</w:t>
            </w:r>
          </w:p>
        </w:tc>
      </w:tr>
      <w:tr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제13조 침해사고</w:t>
            </w:r>
          </w:p>
        </w:tc>
        <w:tc>
          <w:tcPr>
            <w:tcW w:type="dxa" w:w="566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제12조</w:t>
            </w:r>
          </w:p>
        </w:tc>
      </w:tr>
      <w:tr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제15조 위탁 관리</w:t>
            </w:r>
          </w:p>
        </w:tc>
        <w:tc>
          <w:tcPr>
            <w:tcW w:type="dxa" w:w="566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제6조</w:t>
            </w:r>
          </w:p>
        </w:tc>
      </w:tr>
      <w:tr>
        <w:tc>
          <w:tcPr>
            <w:tcW w:type="dxa" w:w="340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제16조 파기</w:t>
            </w:r>
          </w:p>
        </w:tc>
        <w:tc>
          <w:tcPr>
            <w:tcW w:type="dxa" w:w="566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top"/>
          </w:tcPr>
          <w:p>
            <w:pPr>
              <w:spacing w:after="0" w:line="336" w:lineRule="auto"/>
            </w:pPr>
            <w:r>
              <w:rPr>
                <w:rFonts w:ascii="Noto Sans KR" w:hAnsi="Noto Sans KR" w:eastAsia="Noto Sans KR" w:cs="Noto Sans KR"/>
                <w:b w:val="0"/>
                <w:color w:val="1A202C"/>
                <w:sz w:val="21"/>
              </w:rPr>
              <w:t>제4조, 제8조 5항</w:t>
            </w:r>
          </w:p>
        </w:tc>
      </w:tr>
    </w:tbl>
    <w:p>
      <w:pPr>
        <w:spacing w:after="40"/>
      </w:pPr>
      <w:r>
        <w:rPr>
          <w:rFonts w:ascii="Noto Sans KR" w:hAnsi="Noto Sans KR" w:eastAsia="Noto Sans KR" w:cs="Noto Sans KR"/>
          <w:b w:val="0"/>
          <w:color w:val="1A202C"/>
          <w:sz w:val="12"/>
        </w:rPr>
      </w:r>
    </w:p>
    <w:p>
      <w:pPr>
        <w:spacing w:after="80" w:before="0" w:line="372" w:lineRule="auto"/>
      </w:pPr>
    </w:p>
    <w:p>
      <w:pPr>
        <w:spacing w:before="400"/>
        <w:jc w:val="center"/>
      </w:pPr>
      <w:r>
        <w:rPr>
          <w:rFonts w:ascii="Noto Sans KR" w:hAnsi="Noto Sans KR" w:eastAsia="Noto Sans KR" w:cs="Noto Sans KR"/>
          <w:b/>
          <w:color w:val="718096"/>
          <w:sz w:val="22"/>
        </w:rPr>
        <w:t>— 끝 —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Noto Sans KR" w:hAnsi="Noto Sans KR" w:eastAsia="Noto Sans KR" w:cs="Noto Sans KR"/>
        <w:b w:val="0"/>
        <w:color w:val="718096"/>
        <w:sz w:val="18"/>
      </w:rPr>
      <w:t xml:space="preserve">— </w:t>
    </w:r>
    <w:r>
      <w:rPr>
        <w:rFonts w:ascii="Noto Sans KR" w:hAnsi="Noto Sans KR" w:eastAsia="Noto Sans KR" w:cs="Noto Sans KR"/>
        <w:b w:val="0"/>
        <w:color w:val="718096"/>
        <w:sz w:val="18"/>
      </w:rPr>
      <w:fldChar w:fldCharType="begin"/>
      <w:instrText xml:space="preserve"> PAGE </w:instrText>
      <w:fldChar w:fldCharType="end"/>
    </w:r>
    <w:r>
      <w:rPr>
        <w:rFonts w:ascii="Noto Sans KR" w:hAnsi="Noto Sans KR" w:eastAsia="Noto Sans KR" w:cs="Noto Sans KR"/>
        <w:b w:val="0"/>
        <w:color w:val="718096"/>
        <w:sz w:val="1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KR" w:hAnsi="Noto Sans KR" w:eastAsia="Noto Sans KR" w:cs="Noto Sans KR"/>
        <w:b w:val="0"/>
        <w:color w:val="718096"/>
        <w:sz w:val="18"/>
      </w:rPr>
      <w:t>K-edu 개인정보 내부관리계획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 w:cs="Noto Sans K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