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Drought tolerance in</w:t>
      </w:r>
      <w:r>
        <w:t xml:space="preserve"> </w:t>
      </w:r>
      <w:r>
        <w:rPr>
          <w:iCs/>
          <w:i/>
        </w:rPr>
        <w:t xml:space="preserve">Arabidopsis thaliana</w:t>
      </w:r>
      <w:r>
        <w:t xml:space="preserve"> </w:t>
      </w:r>
      <w:r>
        <w:t xml:space="preserve">is studied here.</w:t>
      </w:r>
      <w:r>
        <w:rPr>
          <w:rStyle w:val="FootnoteReference"/>
        </w:rPr>
        <w:footnoteReference w:id="20"/>
      </w:r>
    </w:p>
    <w:bookmarkEnd w:id="21"/>
    <w:bookmarkStart w:id="22" w:name="results"/>
    <w:p>
      <w:pPr>
        <w:pStyle w:val="Heading1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p>
      <w:pPr>
        <w:pStyle w:val="BodyText"/>
      </w:pPr>
      <w:r>
        <w:t xml:space="preserve">Root growth increased under drought.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Synthetic 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2026-10-10T05:59:53Z</dcterms:created>
  <dcterms:modified xsi:type="dcterms:W3CDTF">2026-10-10T05:59:53Z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