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-h1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Expression of</w:t>
      </w:r>
      <w:r>
        <w:t xml:space="preserve"> </w:t>
      </w:r>
      <w:r>
        <w:rPr>
          <w:iCs/>
          <w:i/>
        </w:rPr>
        <w:t xml:space="preserve">ABC1</w:t>
      </w:r>
      <w:r>
        <w:t xml:space="preserve"> </w:t>
      </w:r>
      <w:r>
        <w:t xml:space="preserve">increased 2.4-fold (n = 6) 🌱 under stress; α-tubulin was stable</w:t>
      </w:r>
      <w:r>
        <w:t xml:space="preserve"> </w:t>
      </w:r>
      <w:r>
        <w:t xml:space="preserve">(Kimura 2021)</w:t>
      </w:r>
      <w:r>
        <w:t xml:space="preserve">. 한국어 문장도 포함된다. Café vs Café.</w:t>
      </w:r>
    </w:p>
    <w:p>
      <w:pPr>
        <w:pStyle w:val="BodyText"/>
      </w:pPr>
      <w:r>
        <w:t xml:space="preserve">The pathway may contribute to growth.</w:t>
      </w:r>
    </w:p>
    <w:p>
      <w:pPr>
        <w:pStyle w:val="BodyText"/>
      </w:pPr>
      <w:r>
        <w:t xml:space="preserve">The pathway may contribute to growth.</w:t>
      </w:r>
    </w:p>
    <w:p>
      <w:pPr>
        <w:pStyle w:val="BodyText"/>
      </w:pPr>
      <w:r>
        <w:t xml:space="preserve">H</w:t>
      </w:r>
      <w:r>
        <w:rPr>
          <w:vertAlign w:val="subscript"/>
        </w:rPr>
        <w:t xml:space="preserve">2</w:t>
      </w:r>
      <w:r>
        <w:t xml:space="preserve">O and x</w:t>
      </w:r>
      <w:r>
        <w:rPr>
          <w:vertAlign w:val="superscript"/>
        </w:rPr>
        <w:t xml:space="preserve">2</w:t>
      </w:r>
      <w:r>
        <w:t xml:space="preserve"> </w:t>
      </w:r>
      <w:r>
        <w:t xml:space="preserve">with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(Okafor 2019, 4)</w:t>
      </w:r>
      <w:r>
        <w:t xml:space="preserve">. See</w:t>
      </w:r>
      <w:r>
        <w:t xml:space="preserve"> </w:t>
      </w:r>
      <w:hyperlink w:anchor="fig-1">
        <w:r>
          <w:rPr>
            <w:rStyle w:val="Hyperlink"/>
          </w:rPr>
          <w:t xml:space="preserve">Figure</w:t>
        </w:r>
      </w:hyperlink>
      <w:r>
        <w:t xml:space="preserve">.</w:t>
      </w:r>
    </w:p>
    <w:bookmarkStart w:id="20" w:name="b-t1"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</w:tbl>
    <w:bookmarkEnd w:id="20"/>
    <w:p>
      <w:pPr>
        <w:pStyle w:val="BodyText"/>
      </w:pPr>
      <w:r>
        <w:t xml:space="preserve">Group A had 1.2 and group B had 3.4 (p &lt; 0.05); 5 µM treatment increased growth and did not cause damage in 10</w:t>
      </w:r>
      <w:r>
        <w:rPr>
          <w:vertAlign w:val="superscript"/>
        </w:rPr>
        <w:t xml:space="preserve">5</w:t>
      </w:r>
      <w:r>
        <w:t xml:space="preserve"> </w:t>
      </w:r>
      <w:r>
        <w:t xml:space="preserve">cells</w:t>
      </w:r>
      <w:r>
        <w:t xml:space="preserve"> </w:t>
      </w:r>
      <w:r>
        <w:t xml:space="preserve">(Okafor 2019, 4)</w:t>
      </w:r>
      <w:r>
        <w:t xml:space="preserve">.</w:t>
      </w:r>
    </w:p>
    <w:p>
      <w:pPr>
        <w:pStyle w:val="BodyText"/>
      </w:pPr>
      <w:r>
        <w:t xml:space="preserve">Uptake rose two-fold, reaching 1,000 cells within 5 µm of the surface (p below 0.05).</w:t>
      </w:r>
    </w:p>
    <w:p>
      <w:pPr>
        <w:pStyle w:val="BodyText"/>
      </w:pPr>
      <w:r>
        <w:t xml:space="preserve">Jamo: 한 end.</w:t>
      </w:r>
    </w:p>
    <w:bookmarkEnd w:id="21"/>
    <w:bookmarkStart w:id="25" w:name="bibliography"/>
    <w:p>
      <w:pPr>
        <w:pStyle w:val="Heading1"/>
      </w:pPr>
      <w:r>
        <w:t xml:space="preserve">Bibliography</w:t>
      </w:r>
    </w:p>
    <w:bookmarkStart w:id="24" w:name="refs"/>
    <w:bookmarkStart w:id="22" w:name="ref-0a5d2c1e-7b1f-4c2e-9d3a-1f2e3d4c5b6a"/>
    <w:p>
      <w:pPr>
        <w:pStyle w:val="Bibliography"/>
      </w:pPr>
      <w:r>
        <w:t xml:space="preserve">Kimura, A. 2021.</w:t>
      </w:r>
      <w:r>
        <w:t xml:space="preserve"> </w:t>
      </w:r>
      <w:r>
        <w:t xml:space="preserve">“Synthetic Stress Response in a Model Plant.”</w:t>
      </w:r>
      <w:r>
        <w:t xml:space="preserve"> </w:t>
      </w:r>
      <w:r>
        <w:rPr>
          <w:iCs/>
          <w:i/>
        </w:rPr>
        <w:t xml:space="preserve">Journal of Synthetic Biology Fixtures</w:t>
      </w:r>
      <w:r>
        <w:t xml:space="preserve">.</w:t>
      </w:r>
    </w:p>
    <w:bookmarkEnd w:id="22"/>
    <w:bookmarkStart w:id="23" w:name="ref-6f1e2d3c-4b5a-4987-8a6b-5c4d3e2f1a0b"/>
    <w:p>
      <w:pPr>
        <w:pStyle w:val="Bibliography"/>
      </w:pPr>
      <w:r>
        <w:t xml:space="preserve">Okafor, B. 2019.</w:t>
      </w:r>
      <w:r>
        <w:t xml:space="preserve"> </w:t>
      </w:r>
      <w:r>
        <w:t xml:space="preserve">“A Second Invented Reference.”</w:t>
      </w:r>
      <w:r>
        <w:t xml:space="preserve"> </w:t>
      </w:r>
      <w:r>
        <w:rPr>
          <w:iCs/>
          <w:i/>
        </w:rPr>
        <w:t xml:space="preserve">Fixture Letters</w:t>
      </w:r>
      <w:r>
        <w:t xml:space="preserve">.</w:t>
      </w:r>
    </w:p>
    <w:bookmarkEnd w:id="23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2026-10-08T07:50:11Z</dcterms:created>
  <dcterms:modified xsi:type="dcterms:W3CDTF">2026-10-08T07:50:11Z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/home/user/ManuAlly/reports/tasks/PW-003/export-sample/references.json</vt:lpwstr>
  </property>
  <property fmtid="{D5CDD505-2E9C-101B-9397-08002B2CF9AE}" pid="3" name="link-citations">
    <vt:lpwstr>False</vt:lpwstr>
  </property>
  <property fmtid="{D5CDD505-2E9C-101B-9397-08002B2CF9AE}" pid="4" name="reference-section-title">
    <vt:lpwstr>Bibliography</vt:lpwstr>
  </property>
</Properties>
</file>