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IBME 项目现状与完整重建研究报告</w:t>
      </w:r>
    </w:p>
    <w:p>
      <w:r>
        <w:t>面向全国密码技术竞赛的软件设计与研究路线</w:t>
      </w:r>
    </w:p>
    <w:p>
      <w:r>
        <w:t>编写日期 2026 年 10 月 3 日　对象 项目队员　性质 现状核验与技术决策依据</w:t>
      </w:r>
    </w:p>
    <w:p>
      <w:r>
        <w:t xml:space="preserve">代码核验基点为 </w:t>
      </w:r>
      <w:r>
        <w:rPr>
          <w:rFonts w:ascii="Consolas" w:hAnsi="Consolas"/>
          <w:sz w:val="19"/>
        </w:rPr>
        <w:t>b15afd675b1c53029d9b8f8909569ccc7b060fa8</w:t>
      </w:r>
      <w:r>
        <w:t>。本文依据用户提供的两页赛题 PDF、仓库代码和远端新增报告，以及截至本次检索可核验的原始论文。计划按时间充分安排，以阶段成果是否达标推进，不采用旧报告中的 10 月 22 日作为截止日期。文献目录不表示穷尽全部研究，候选方案也不表示已经完成实现或安全证明。</w:t>
      </w:r>
    </w:p>
    <w:p>
      <w:pPr>
        <w:pStyle w:val="Heading1"/>
      </w:pPr>
      <w:r>
        <w:t>1 主要结论与建议</w:t>
      </w:r>
    </w:p>
    <w:p>
      <w:r>
        <w:t>我们目前做的是一个以两层格基 HIBE 和格基 IBS 为底层组件的身份基匹配加密原型。它已经把系统建立、发送者密钥提取、接收者密钥提取、加密、双向身份检查和解密串起来，拥有较清晰的模块接口、编码规则、命令行和测试。这些是可以保留的工程资产。</w:t>
      </w:r>
    </w:p>
    <w:p>
      <w:r>
        <w:t>但当前原型还不能作为安全完整的竞赛成品。我们本次重新执行了公开参数伪造攻击：攻击者不需要 Alice 的发送者密钥，就能产生接收者认可为 Alice 所发的密文。另一个本次实验只修改密文一个字节，解密接口仍返回原消息，说明其密文完整性与赛题的篡改拒绝要求存在明确差距。全套测试的 333 项通过、10 项跳过，并没有排除这些问题。</w:t>
      </w:r>
    </w:p>
    <w:p>
      <w:r>
        <w:t>建议采用“保留工程组织，重新建立密码学依据”的重建方式：先冻结安全目标、论文版本和算法，再建立证明条件、参数和实现之间的对应关系。不能只把矩阵维度调大，或给现有方案换上短签名，就宣称完成了安全升级。现有 HIBE 与 ABB10 原论文的具体算法结构不同，陷门采样也有教学性简化；这些差异必须逐项处理。</w:t>
      </w:r>
    </w:p>
    <w:p>
      <w:r>
        <w:rPr>
          <w:b/>
        </w:rPr>
        <w:t>必须调研完整 IBME 方案。</w:t>
      </w:r>
      <w:r>
        <w:t xml:space="preserve"> 只调研 IBS 和 HIBE 会漏掉不同通用构造对匿名性、密钥重复使用、增强隐私、CCA 安全和额外原语的要求。尤其需要补充 2026 年的研究，以及近期修订过的预印本。本文比较了 HIBE 加 IBS、匿名 IBE 加 IBS 或提取器、带证明系统的增强隐私构造，以及直接环格 IBME 等路线。</w:t>
      </w:r>
    </w:p>
    <w:p>
      <w:r>
        <w:t>建议把项目分成三层成果：第一层是论文算法一致、参数有依据的 LWE/SIS 完整参考实例；第二层是至少另一套实际运行的方案或组合，以及环格和模格的具体实例研究；第三层是有安全论证和消融实验支持的优化、可复现评测和应用演示。第二层的额外实例数量与研究深度是我们为争取优秀成绩提出的内部目标，不能写成赛题强制要求。</w:t>
      </w:r>
    </w:p>
    <w:p>
      <w:r>
        <w:t>国赛一等奖不能由某个方案名称或代码量保证。最有说服力的成果是：我们准确识别了哪些性质来自论文，哪些优化由自己完成；能够解释并复现攻击、修复、参数选择和性能收益；对没有实现或没有证明的性质，说明其边界。</w:t>
      </w:r>
    </w:p>
    <w:p>
      <w:pPr>
        <w:pStyle w:val="Heading1"/>
      </w:pPr>
      <w:r>
        <w:t>2 远端仓库与资料版本</w:t>
      </w:r>
    </w:p>
    <w:p>
      <w:r>
        <w:t xml:space="preserve">本次检查前，本地位于 </w:t>
      </w:r>
      <w:r>
        <w:rPr>
          <w:rFonts w:ascii="Consolas" w:hAnsi="Consolas"/>
          <w:sz w:val="19"/>
        </w:rPr>
        <w:t>9e5d086</w:t>
      </w:r>
      <w:r>
        <w:t xml:space="preserve">，工作区干净。远端 </w:t>
      </w:r>
      <w:r>
        <w:rPr>
          <w:rFonts w:ascii="Consolas" w:hAnsi="Consolas"/>
          <w:sz w:val="19"/>
        </w:rPr>
        <w:t>origin/main</w:t>
      </w:r>
      <w:r>
        <w:t xml:space="preserve"> 新增三条提交，本次已通过快进同步，本地与远端在核验时均为 </w:t>
      </w:r>
      <w:r>
        <w:rPr>
          <w:rFonts w:ascii="Consolas" w:hAnsi="Consolas"/>
          <w:sz w:val="19"/>
        </w:rPr>
        <w:t>b15afd6</w:t>
      </w:r>
      <w:r>
        <w:t>。这次远端更新没有修改密码算法或测试代码。</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440"/>
        <w:gridCol w:w="3600"/>
        <w:gridCol w:w="5040"/>
      </w:tblGrid>
      <w:tr>
        <w:trPr>
          <w:cantSplit/>
          <w:tblHeader w:val="true"/>
        </w:trPr>
        <w:tc>
          <w:tcPr>
            <w:tcW w:type="dxa" w:w="1440"/>
            <w:vAlign w:val="center"/>
            <w:tcMar>
              <w:top w:w="85" w:type="dxa"/>
              <w:bottom w:w="85" w:type="dxa"/>
              <w:left w:w="100" w:type="dxa"/>
              <w:right w:w="100" w:type="dxa"/>
            </w:tcMar>
            <w:shd w:fill="17365D"/>
          </w:tcPr>
          <w:p>
            <w:pPr>
              <w:widowControl/>
              <w:spacing w:after="0" w:line="278" w:lineRule="auto"/>
              <w:jc w:val="center"/>
            </w:pPr>
            <w:r>
              <w:rPr>
                <w:b/>
                <w:color w:val="FFFFFF"/>
                <w:sz w:val="20"/>
              </w:rPr>
              <w:t>提交</w:t>
            </w:r>
          </w:p>
        </w:tc>
        <w:tc>
          <w:tcPr>
            <w:tcW w:type="dxa" w:w="3600"/>
            <w:vAlign w:val="center"/>
            <w:tcMar>
              <w:top w:w="85" w:type="dxa"/>
              <w:bottom w:w="85" w:type="dxa"/>
              <w:left w:w="100" w:type="dxa"/>
              <w:right w:w="100" w:type="dxa"/>
            </w:tcMar>
            <w:shd w:fill="17365D"/>
          </w:tcPr>
          <w:p>
            <w:pPr>
              <w:widowControl/>
              <w:spacing w:after="0" w:line="278" w:lineRule="auto"/>
              <w:jc w:val="center"/>
            </w:pPr>
            <w:r>
              <w:rPr>
                <w:b/>
                <w:color w:val="FFFFFF"/>
                <w:sz w:val="20"/>
              </w:rPr>
              <w:t>内容</w:t>
            </w:r>
          </w:p>
        </w:tc>
        <w:tc>
          <w:tcPr>
            <w:tcW w:type="dxa" w:w="5040"/>
            <w:vAlign w:val="center"/>
            <w:tcMar>
              <w:top w:w="85" w:type="dxa"/>
              <w:bottom w:w="85" w:type="dxa"/>
              <w:left w:w="100" w:type="dxa"/>
              <w:right w:w="100" w:type="dxa"/>
            </w:tcMar>
            <w:shd w:fill="17365D"/>
          </w:tcPr>
          <w:p>
            <w:pPr>
              <w:widowControl/>
              <w:spacing w:after="0" w:line="278" w:lineRule="auto"/>
              <w:jc w:val="center"/>
            </w:pPr>
            <w:r>
              <w:rPr>
                <w:b/>
                <w:color w:val="FFFFFF"/>
                <w:sz w:val="20"/>
              </w:rPr>
              <w:t>对本次工作的意义</w:t>
            </w:r>
          </w:p>
        </w:tc>
      </w:tr>
      <w:tr>
        <w:trPr>
          <w:cantSplit/>
        </w:trPr>
        <w:tc>
          <w:tcPr>
            <w:tcW w:type="dxa" w:w="1440"/>
            <w:vAlign w:val="center"/>
            <w:tcMar>
              <w:top w:w="85" w:type="dxa"/>
              <w:bottom w:w="85" w:type="dxa"/>
              <w:left w:w="100" w:type="dxa"/>
              <w:right w:w="100" w:type="dxa"/>
            </w:tcMar>
            <w:shd w:fill="F2F5F8"/>
          </w:tcPr>
          <w:p>
            <w:pPr>
              <w:widowControl/>
              <w:spacing w:after="0" w:line="278" w:lineRule="auto"/>
            </w:pPr>
            <w:r>
              <w:rPr>
                <w:rFonts w:ascii="Consolas" w:hAnsi="Consolas"/>
                <w:sz w:val="20"/>
              </w:rPr>
              <w:t>6ebeb1a</w:t>
            </w:r>
          </w:p>
        </w:tc>
        <w:tc>
          <w:tcPr>
            <w:tcW w:type="dxa" w:w="3600"/>
            <w:vAlign w:val="center"/>
            <w:tcMar>
              <w:top w:w="85" w:type="dxa"/>
              <w:bottom w:w="85" w:type="dxa"/>
              <w:left w:w="100" w:type="dxa"/>
              <w:right w:w="100" w:type="dxa"/>
            </w:tcMar>
            <w:shd w:fill="F2F5F8"/>
          </w:tcPr>
          <w:p>
            <w:pPr>
              <w:widowControl/>
              <w:spacing w:after="0" w:line="278" w:lineRule="auto"/>
            </w:pPr>
            <w:r>
              <w:rPr>
                <w:sz w:val="20"/>
              </w:rPr>
              <w:t>新增 IBME 选型资料</w:t>
            </w:r>
          </w:p>
        </w:tc>
        <w:tc>
          <w:tcPr>
            <w:tcW w:type="dxa" w:w="5040"/>
            <w:vAlign w:val="center"/>
            <w:tcMar>
              <w:top w:w="85" w:type="dxa"/>
              <w:bottom w:w="85" w:type="dxa"/>
              <w:left w:w="100" w:type="dxa"/>
              <w:right w:w="100" w:type="dxa"/>
            </w:tcMar>
            <w:shd w:fill="F2F5F8"/>
          </w:tcPr>
          <w:p>
            <w:pPr>
              <w:widowControl/>
              <w:spacing w:after="0" w:line="278" w:lineRule="auto"/>
            </w:pPr>
            <w:r>
              <w:rPr>
                <w:sz w:val="20"/>
              </w:rPr>
              <w:t>补充 IBS 候选和赛题验收依据</w:t>
            </w:r>
          </w:p>
        </w:tc>
      </w:tr>
      <w:tr>
        <w:trPr>
          <w:cantSplit/>
        </w:trPr>
        <w:tc>
          <w:tcPr>
            <w:tcW w:type="dxa" w:w="1440"/>
            <w:vAlign w:val="center"/>
            <w:tcMar>
              <w:top w:w="85" w:type="dxa"/>
              <w:bottom w:w="85" w:type="dxa"/>
              <w:left w:w="100" w:type="dxa"/>
              <w:right w:w="100" w:type="dxa"/>
            </w:tcMar>
            <w:shd w:fill="FFFFFF"/>
          </w:tcPr>
          <w:p>
            <w:pPr>
              <w:widowControl/>
              <w:spacing w:after="0" w:line="278" w:lineRule="auto"/>
            </w:pPr>
            <w:r>
              <w:rPr>
                <w:rFonts w:ascii="Consolas" w:hAnsi="Consolas"/>
                <w:sz w:val="20"/>
              </w:rPr>
              <w:t>099364d</w:t>
            </w:r>
          </w:p>
        </w:tc>
        <w:tc>
          <w:tcPr>
            <w:tcW w:type="dxa" w:w="3600"/>
            <w:vAlign w:val="center"/>
            <w:tcMar>
              <w:top w:w="85" w:type="dxa"/>
              <w:bottom w:w="85" w:type="dxa"/>
              <w:left w:w="100" w:type="dxa"/>
              <w:right w:w="100" w:type="dxa"/>
            </w:tcMar>
            <w:shd w:fill="FFFFFF"/>
          </w:tcPr>
          <w:p>
            <w:pPr>
              <w:widowControl/>
              <w:spacing w:after="0" w:line="278" w:lineRule="auto"/>
            </w:pPr>
            <w:r>
              <w:rPr>
                <w:sz w:val="20"/>
              </w:rPr>
              <w:t>新增 HIBE 选型资料</w:t>
            </w:r>
          </w:p>
        </w:tc>
        <w:tc>
          <w:tcPr>
            <w:tcW w:type="dxa" w:w="5040"/>
            <w:vAlign w:val="center"/>
            <w:tcMar>
              <w:top w:w="85" w:type="dxa"/>
              <w:bottom w:w="85" w:type="dxa"/>
              <w:left w:w="100" w:type="dxa"/>
              <w:right w:w="100" w:type="dxa"/>
            </w:tcMar>
            <w:shd w:fill="FFFFFF"/>
          </w:tcPr>
          <w:p>
            <w:pPr>
              <w:widowControl/>
              <w:spacing w:after="0" w:line="278" w:lineRule="auto"/>
            </w:pPr>
            <w:r>
              <w:rPr>
                <w:sz w:val="20"/>
              </w:rPr>
              <w:t>补充 HIBE 候选和证明模型讨论</w:t>
            </w:r>
          </w:p>
        </w:tc>
      </w:tr>
      <w:tr>
        <w:trPr>
          <w:cantSplit/>
        </w:trPr>
        <w:tc>
          <w:tcPr>
            <w:tcW w:type="dxa" w:w="1440"/>
            <w:vAlign w:val="center"/>
            <w:tcMar>
              <w:top w:w="85" w:type="dxa"/>
              <w:bottom w:w="85" w:type="dxa"/>
              <w:left w:w="100" w:type="dxa"/>
              <w:right w:w="100" w:type="dxa"/>
            </w:tcMar>
            <w:shd w:fill="F2F5F8"/>
          </w:tcPr>
          <w:p>
            <w:pPr>
              <w:widowControl/>
              <w:spacing w:after="0" w:line="278" w:lineRule="auto"/>
            </w:pPr>
            <w:r>
              <w:rPr>
                <w:rFonts w:ascii="Consolas" w:hAnsi="Consolas"/>
                <w:sz w:val="20"/>
              </w:rPr>
              <w:t>b15afd6</w:t>
            </w:r>
          </w:p>
        </w:tc>
        <w:tc>
          <w:tcPr>
            <w:tcW w:type="dxa" w:w="3600"/>
            <w:vAlign w:val="center"/>
            <w:tcMar>
              <w:top w:w="85" w:type="dxa"/>
              <w:bottom w:w="85" w:type="dxa"/>
              <w:left w:w="100" w:type="dxa"/>
              <w:right w:w="100" w:type="dxa"/>
            </w:tcMar>
            <w:shd w:fill="F2F5F8"/>
          </w:tcPr>
          <w:p>
            <w:pPr>
              <w:widowControl/>
              <w:spacing w:after="0" w:line="278" w:lineRule="auto"/>
            </w:pPr>
            <w:r>
              <w:rPr>
                <w:sz w:val="20"/>
              </w:rPr>
              <w:t>合并上述研究资料</w:t>
            </w:r>
          </w:p>
        </w:tc>
        <w:tc>
          <w:tcPr>
            <w:tcW w:type="dxa" w:w="5040"/>
            <w:vAlign w:val="center"/>
            <w:tcMar>
              <w:top w:w="85" w:type="dxa"/>
              <w:bottom w:w="85" w:type="dxa"/>
              <w:left w:w="100" w:type="dxa"/>
              <w:right w:w="100" w:type="dxa"/>
            </w:tcMar>
            <w:shd w:fill="F2F5F8"/>
          </w:tcPr>
          <w:p>
            <w:pPr>
              <w:widowControl/>
              <w:spacing w:after="0" w:line="278" w:lineRule="auto"/>
            </w:pPr>
            <w:r>
              <w:rPr>
                <w:sz w:val="20"/>
              </w:rPr>
              <w:t>本次代码与文档核验基点</w:t>
            </w:r>
          </w:p>
        </w:tc>
      </w:tr>
    </w:tbl>
    <w:p>
      <w:pPr>
        <w:spacing w:after="60" w:before="0" w:line="120" w:lineRule="auto"/>
      </w:pPr>
      <w:r>
        <w:rPr>
          <w:sz w:val="4"/>
        </w:rPr>
      </w:r>
    </w:p>
    <w:p>
      <w:r>
        <w:t xml:space="preserve">新增资料位于 </w:t>
      </w:r>
      <w:r>
        <w:rPr>
          <w:rFonts w:ascii="Consolas" w:hAnsi="Consolas"/>
          <w:sz w:val="19"/>
        </w:rPr>
        <w:t>docs/research/2026-09-30/</w:t>
      </w:r>
      <w:r>
        <w:t>，包括目录说明、</w:t>
      </w:r>
      <w:r>
        <w:rPr>
          <w:rFonts w:ascii="Consolas" w:hAnsi="Consolas"/>
          <w:sz w:val="19"/>
        </w:rPr>
        <w:t>IBME-SIS-IBS候选方案筛选.md</w:t>
      </w:r>
      <w:r>
        <w:t>、</w:t>
      </w:r>
      <w:r>
        <w:rPr>
          <w:rFonts w:ascii="Consolas" w:hAnsi="Consolas"/>
          <w:sz w:val="19"/>
        </w:rPr>
        <w:t>IBME-HIBE候选方案筛选.md</w:t>
      </w:r>
      <w:r>
        <w:t xml:space="preserve">，以及 </w:t>
      </w:r>
      <w:r>
        <w:rPr>
          <w:rFonts w:ascii="Consolas" w:hAnsi="Consolas"/>
          <w:sz w:val="19"/>
        </w:rPr>
        <w:t>IBME-赛题验收基准/2026-09-27/</w:t>
      </w:r>
      <w:r>
        <w:t xml:space="preserve"> 下的验收基准和题目 Word 原件。共五个文件。文件目录采用 9 月 30 日，合并提交时间是 10 月 3 日，应区分资料标注日期与仓库合并日期。</w:t>
      </w:r>
    </w:p>
    <w:p>
      <w:r>
        <w:t>这些报告值得继续利用：它们已经注意到自我伪造、匿名 HIBE、SIS 参数和算法接口问题。不过，它们主要围绕既有 HIBE 加 IBS 路线筛选，并因假设截止日期而降低了 Module-SIS 研究优先级。现在时间条件已经改变，我们也允许更换通用构造，因此它们应作为候选资料，而不应直接成为不可更改的方案决策。</w:t>
      </w:r>
    </w:p>
    <w:p>
      <w:r>
        <w:t>旧验收基准的 A01 至 A15 全部写作“未核验”，是归档时的检查状态，不是对当前仓库的最终评价。本文第 7 节给出本次核验结论，但保留旧文件作为历史记录。</w:t>
      </w:r>
    </w:p>
    <w:p>
      <w:r>
        <w:t xml:space="preserve">用户提供的 PDF 标题为“2026 第十一届全国密码技术竞赛复赛题目”，题目为“基于多类格困难假设的抗量子身份基匹配加密通用设计与优化实现”，勾选软件设计。两页均已读取正文并检查页面。其 SHA-256 为 </w:t>
      </w:r>
      <w:r>
        <w:rPr>
          <w:rFonts w:ascii="Consolas" w:hAnsi="Consolas"/>
          <w:sz w:val="19"/>
        </w:rPr>
        <w:t>3676D2F9CC76C070B38F03B29378971AE99B0BFA70B7AC01AD585D3EFC13302E</w:t>
      </w:r>
      <w:r>
        <w:t>。PDF 与仓库归档 Word 的题目正文一致；格式不同，不能要求两者文件哈希相同。</w:t>
      </w:r>
    </w:p>
    <w:p>
      <w:pPr>
        <w:pStyle w:val="Heading1"/>
      </w:pPr>
      <w:r>
        <w:t>3 赛题要求及其正确解释</w:t>
      </w:r>
    </w:p>
    <w:p>
      <w:r>
        <w:t>赛题的重点有三项：通用构造与可组合实例化；抵御自我伪造和篡改的认证能力；通过底层算法及 IBS 优化降低尺寸和计算开销。软件应能展示参数、密钥生成、加密解密、身份匹配、签名验证、实例切换和性能测试。</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872"/>
        <w:gridCol w:w="3888"/>
        <w:gridCol w:w="4320"/>
      </w:tblGrid>
      <w:tr>
        <w:trPr>
          <w:cantSplit/>
          <w:tblHeader w:val="true"/>
        </w:trPr>
        <w:tc>
          <w:tcPr>
            <w:tcW w:type="dxa" w:w="1872"/>
            <w:vAlign w:val="center"/>
            <w:tcMar>
              <w:top w:w="85" w:type="dxa"/>
              <w:bottom w:w="85" w:type="dxa"/>
              <w:left w:w="100" w:type="dxa"/>
              <w:right w:w="100" w:type="dxa"/>
            </w:tcMar>
            <w:shd w:fill="17365D"/>
          </w:tcPr>
          <w:p>
            <w:pPr>
              <w:widowControl/>
              <w:spacing w:after="0" w:line="278" w:lineRule="auto"/>
              <w:jc w:val="center"/>
            </w:pPr>
            <w:r>
              <w:rPr>
                <w:b/>
                <w:color w:val="FFFFFF"/>
                <w:sz w:val="20"/>
              </w:rPr>
              <w:t>原文指标</w:t>
            </w:r>
          </w:p>
        </w:tc>
        <w:tc>
          <w:tcPr>
            <w:tcW w:type="dxa" w:w="3888"/>
            <w:vAlign w:val="center"/>
            <w:tcMar>
              <w:top w:w="85" w:type="dxa"/>
              <w:bottom w:w="85" w:type="dxa"/>
              <w:left w:w="100" w:type="dxa"/>
              <w:right w:w="100" w:type="dxa"/>
            </w:tcMar>
            <w:shd w:fill="17365D"/>
          </w:tcPr>
          <w:p>
            <w:pPr>
              <w:widowControl/>
              <w:spacing w:after="0" w:line="278" w:lineRule="auto"/>
              <w:jc w:val="center"/>
            </w:pPr>
            <w:r>
              <w:rPr>
                <w:b/>
                <w:color w:val="FFFFFF"/>
                <w:sz w:val="20"/>
              </w:rPr>
              <w:t>我们需要提供的证据</w:t>
            </w:r>
          </w:p>
        </w:tc>
        <w:tc>
          <w:tcPr>
            <w:tcW w:type="dxa" w:w="4320"/>
            <w:vAlign w:val="center"/>
            <w:tcMar>
              <w:top w:w="85" w:type="dxa"/>
              <w:bottom w:w="85" w:type="dxa"/>
              <w:left w:w="100" w:type="dxa"/>
              <w:right w:w="100" w:type="dxa"/>
            </w:tcMar>
            <w:shd w:fill="17365D"/>
          </w:tcPr>
          <w:p>
            <w:pPr>
              <w:widowControl/>
              <w:spacing w:after="0" w:line="278" w:lineRule="auto"/>
              <w:jc w:val="center"/>
            </w:pPr>
            <w:r>
              <w:rPr>
                <w:b/>
                <w:color w:val="FFFFFF"/>
                <w:sz w:val="20"/>
              </w:rPr>
              <w:t>容易误判的地方</w:t>
            </w:r>
          </w:p>
        </w:tc>
      </w:tr>
      <w:tr>
        <w:trPr>
          <w:cantSplit/>
        </w:trPr>
        <w:tc>
          <w:tcPr>
            <w:tcW w:type="dxa" w:w="1872"/>
            <w:vAlign w:val="center"/>
            <w:tcMar>
              <w:top w:w="85" w:type="dxa"/>
              <w:bottom w:w="85" w:type="dxa"/>
              <w:left w:w="100" w:type="dxa"/>
              <w:right w:w="100" w:type="dxa"/>
            </w:tcMar>
            <w:shd w:fill="F2F5F8"/>
          </w:tcPr>
          <w:p>
            <w:pPr>
              <w:widowControl/>
              <w:spacing w:after="0" w:line="278" w:lineRule="auto"/>
            </w:pPr>
            <w:r>
              <w:rPr>
                <w:sz w:val="20"/>
              </w:rPr>
              <w:t>R1 完整流程及双向匹配</w:t>
            </w:r>
          </w:p>
        </w:tc>
        <w:tc>
          <w:tcPr>
            <w:tcW w:type="dxa" w:w="3888"/>
            <w:vAlign w:val="center"/>
            <w:tcMar>
              <w:top w:w="85" w:type="dxa"/>
              <w:bottom w:w="85" w:type="dxa"/>
              <w:left w:w="100" w:type="dxa"/>
              <w:right w:w="100" w:type="dxa"/>
            </w:tcMar>
            <w:shd w:fill="F2F5F8"/>
          </w:tcPr>
          <w:p>
            <w:pPr>
              <w:widowControl/>
              <w:spacing w:after="0" w:line="278" w:lineRule="auto"/>
            </w:pPr>
            <w:r>
              <w:rPr>
                <w:sz w:val="20"/>
              </w:rPr>
              <w:t>五个算法的流程、正确性说明和四种匹配情况</w:t>
            </w:r>
          </w:p>
        </w:tc>
        <w:tc>
          <w:tcPr>
            <w:tcW w:type="dxa" w:w="4320"/>
            <w:vAlign w:val="center"/>
            <w:tcMar>
              <w:top w:w="85" w:type="dxa"/>
              <w:bottom w:w="85" w:type="dxa"/>
              <w:left w:w="100" w:type="dxa"/>
              <w:right w:w="100" w:type="dxa"/>
            </w:tcMar>
            <w:shd w:fill="F2F5F8"/>
          </w:tcPr>
          <w:p>
            <w:pPr>
              <w:widowControl/>
              <w:spacing w:after="0" w:line="278" w:lineRule="auto"/>
            </w:pPr>
            <w:r>
              <w:rPr>
                <w:sz w:val="20"/>
              </w:rPr>
              <w:t>返回失败不等于恶意用户无法绕过本地检查</w:t>
            </w:r>
          </w:p>
        </w:tc>
      </w:tr>
      <w:tr>
        <w:trPr>
          <w:cantSplit/>
        </w:trPr>
        <w:tc>
          <w:tcPr>
            <w:tcW w:type="dxa" w:w="1872"/>
            <w:vAlign w:val="center"/>
            <w:tcMar>
              <w:top w:w="85" w:type="dxa"/>
              <w:bottom w:w="85" w:type="dxa"/>
              <w:left w:w="100" w:type="dxa"/>
              <w:right w:w="100" w:type="dxa"/>
            </w:tcMar>
            <w:shd w:fill="FFFFFF"/>
          </w:tcPr>
          <w:p>
            <w:pPr>
              <w:widowControl/>
              <w:spacing w:after="0" w:line="278" w:lineRule="auto"/>
            </w:pPr>
            <w:r>
              <w:rPr>
                <w:sz w:val="20"/>
              </w:rPr>
              <w:t>R2 可切换组件及 LWE/SIS 完整实例</w:t>
            </w:r>
          </w:p>
        </w:tc>
        <w:tc>
          <w:tcPr>
            <w:tcW w:type="dxa" w:w="3888"/>
            <w:vAlign w:val="center"/>
            <w:tcMar>
              <w:top w:w="85" w:type="dxa"/>
              <w:bottom w:w="85" w:type="dxa"/>
              <w:left w:w="100" w:type="dxa"/>
              <w:right w:w="100" w:type="dxa"/>
            </w:tcMar>
            <w:shd w:fill="FFFFFF"/>
          </w:tcPr>
          <w:p>
            <w:pPr>
              <w:widowControl/>
              <w:spacing w:after="0" w:line="278" w:lineRule="auto"/>
            </w:pPr>
            <w:r>
              <w:rPr>
                <w:sz w:val="20"/>
              </w:rPr>
              <w:t>实际配置、兼容性检查、端到端运行、论文与参数依据</w:t>
            </w:r>
          </w:p>
        </w:tc>
        <w:tc>
          <w:tcPr>
            <w:tcW w:type="dxa" w:w="4320"/>
            <w:vAlign w:val="center"/>
            <w:tcMar>
              <w:top w:w="85" w:type="dxa"/>
              <w:bottom w:w="85" w:type="dxa"/>
              <w:left w:w="100" w:type="dxa"/>
              <w:right w:w="100" w:type="dxa"/>
            </w:tcMar>
            <w:shd w:fill="FFFFFF"/>
          </w:tcPr>
          <w:p>
            <w:pPr>
              <w:widowControl/>
              <w:spacing w:after="0" w:line="278" w:lineRule="auto"/>
            </w:pPr>
            <w:r>
              <w:rPr>
                <w:sz w:val="20"/>
              </w:rPr>
              <w:t>mock 或预留接口不等于另一套格方案已实现</w:t>
            </w:r>
          </w:p>
        </w:tc>
      </w:tr>
      <w:tr>
        <w:trPr>
          <w:cantSplit/>
        </w:trPr>
        <w:tc>
          <w:tcPr>
            <w:tcW w:type="dxa" w:w="1872"/>
            <w:vAlign w:val="center"/>
            <w:tcMar>
              <w:top w:w="85" w:type="dxa"/>
              <w:bottom w:w="85" w:type="dxa"/>
              <w:left w:w="100" w:type="dxa"/>
              <w:right w:w="100" w:type="dxa"/>
            </w:tcMar>
            <w:shd w:fill="F2F5F8"/>
          </w:tcPr>
          <w:p>
            <w:pPr>
              <w:widowControl/>
              <w:spacing w:after="0" w:line="278" w:lineRule="auto"/>
            </w:pPr>
            <w:r>
              <w:rPr>
                <w:sz w:val="20"/>
              </w:rPr>
              <w:t>R3 隐私 认证 完整性</w:t>
            </w:r>
          </w:p>
        </w:tc>
        <w:tc>
          <w:tcPr>
            <w:tcW w:type="dxa" w:w="3888"/>
            <w:vAlign w:val="center"/>
            <w:tcMar>
              <w:top w:w="85" w:type="dxa"/>
              <w:bottom w:w="85" w:type="dxa"/>
              <w:left w:w="100" w:type="dxa"/>
              <w:right w:w="100" w:type="dxa"/>
            </w:tcMar>
            <w:shd w:fill="F2F5F8"/>
          </w:tcPr>
          <w:p>
            <w:pPr>
              <w:widowControl/>
              <w:spacing w:after="0" w:line="278" w:lineRule="auto"/>
            </w:pPr>
            <w:r>
              <w:rPr>
                <w:sz w:val="20"/>
              </w:rPr>
              <w:t>对应安全定义、组合前提、参数与攻击核验</w:t>
            </w:r>
          </w:p>
        </w:tc>
        <w:tc>
          <w:tcPr>
            <w:tcW w:type="dxa" w:w="4320"/>
            <w:vAlign w:val="center"/>
            <w:tcMar>
              <w:top w:w="85" w:type="dxa"/>
              <w:bottom w:w="85" w:type="dxa"/>
              <w:left w:w="100" w:type="dxa"/>
              <w:right w:w="100" w:type="dxa"/>
            </w:tcMar>
            <w:shd w:fill="F2F5F8"/>
          </w:tcPr>
          <w:p>
            <w:pPr>
              <w:widowControl/>
              <w:spacing w:after="0" w:line="278" w:lineRule="auto"/>
            </w:pPr>
            <w:r>
              <w:rPr>
                <w:sz w:val="20"/>
              </w:rPr>
              <w:t>签名验证通过的消息认证不自动覆盖所有密文字节</w:t>
            </w:r>
          </w:p>
        </w:tc>
      </w:tr>
      <w:tr>
        <w:trPr>
          <w:cantSplit/>
        </w:trPr>
        <w:tc>
          <w:tcPr>
            <w:tcW w:type="dxa" w:w="1872"/>
            <w:vAlign w:val="center"/>
            <w:tcMar>
              <w:top w:w="85" w:type="dxa"/>
              <w:bottom w:w="85" w:type="dxa"/>
              <w:left w:w="100" w:type="dxa"/>
              <w:right w:w="100" w:type="dxa"/>
            </w:tcMar>
            <w:shd w:fill="FFFFFF"/>
          </w:tcPr>
          <w:p>
            <w:pPr>
              <w:widowControl/>
              <w:spacing w:after="0" w:line="278" w:lineRule="auto"/>
            </w:pPr>
            <w:r>
              <w:rPr>
                <w:sz w:val="20"/>
              </w:rPr>
              <w:t>R4 批量正确性及错误输入拒绝</w:t>
            </w:r>
          </w:p>
        </w:tc>
        <w:tc>
          <w:tcPr>
            <w:tcW w:type="dxa" w:w="3888"/>
            <w:vAlign w:val="center"/>
            <w:tcMar>
              <w:top w:w="85" w:type="dxa"/>
              <w:bottom w:w="85" w:type="dxa"/>
              <w:left w:w="100" w:type="dxa"/>
              <w:right w:w="100" w:type="dxa"/>
            </w:tcMar>
            <w:shd w:fill="FFFFFF"/>
          </w:tcPr>
          <w:p>
            <w:pPr>
              <w:widowControl/>
              <w:spacing w:after="0" w:line="278" w:lineRule="auto"/>
            </w:pPr>
            <w:r>
              <w:rPr>
                <w:sz w:val="20"/>
              </w:rPr>
              <w:t>身份和消息生成方法、样本数、失败日志、攻击测试</w:t>
            </w:r>
          </w:p>
        </w:tc>
        <w:tc>
          <w:tcPr>
            <w:tcW w:type="dxa" w:w="4320"/>
            <w:vAlign w:val="center"/>
            <w:tcMar>
              <w:top w:w="85" w:type="dxa"/>
              <w:bottom w:w="85" w:type="dxa"/>
              <w:left w:w="100" w:type="dxa"/>
              <w:right w:w="100" w:type="dxa"/>
            </w:tcMar>
            <w:shd w:fill="FFFFFF"/>
          </w:tcPr>
          <w:p>
            <w:pPr>
              <w:widowControl/>
              <w:spacing w:after="0" w:line="278" w:lineRule="auto"/>
            </w:pPr>
            <w:r>
              <w:rPr>
                <w:sz w:val="20"/>
              </w:rPr>
              <w:t>只测试随机伪造会漏掉线性代数等定向攻击</w:t>
            </w:r>
          </w:p>
        </w:tc>
      </w:tr>
      <w:tr>
        <w:trPr>
          <w:cantSplit/>
        </w:trPr>
        <w:tc>
          <w:tcPr>
            <w:tcW w:type="dxa" w:w="1872"/>
            <w:vAlign w:val="center"/>
            <w:tcMar>
              <w:top w:w="85" w:type="dxa"/>
              <w:bottom w:w="85" w:type="dxa"/>
              <w:left w:w="100" w:type="dxa"/>
              <w:right w:w="100" w:type="dxa"/>
            </w:tcMar>
            <w:shd w:fill="F2F5F8"/>
          </w:tcPr>
          <w:p>
            <w:pPr>
              <w:widowControl/>
              <w:spacing w:after="0" w:line="278" w:lineRule="auto"/>
            </w:pPr>
            <w:r>
              <w:rPr>
                <w:sz w:val="20"/>
              </w:rPr>
              <w:t>R5 参数和实例的性能对比</w:t>
            </w:r>
          </w:p>
        </w:tc>
        <w:tc>
          <w:tcPr>
            <w:tcW w:type="dxa" w:w="3888"/>
            <w:vAlign w:val="center"/>
            <w:tcMar>
              <w:top w:w="85" w:type="dxa"/>
              <w:bottom w:w="85" w:type="dxa"/>
              <w:left w:w="100" w:type="dxa"/>
              <w:right w:w="100" w:type="dxa"/>
            </w:tcMar>
            <w:shd w:fill="F2F5F8"/>
          </w:tcPr>
          <w:p>
            <w:pPr>
              <w:widowControl/>
              <w:spacing w:after="0" w:line="278" w:lineRule="auto"/>
            </w:pPr>
            <w:r>
              <w:rPr>
                <w:sz w:val="20"/>
              </w:rPr>
              <w:t>各类密钥与密文尺寸、时间、内存、原始数据与图表</w:t>
            </w:r>
          </w:p>
        </w:tc>
        <w:tc>
          <w:tcPr>
            <w:tcW w:type="dxa" w:w="4320"/>
            <w:vAlign w:val="center"/>
            <w:tcMar>
              <w:top w:w="85" w:type="dxa"/>
              <w:bottom w:w="85" w:type="dxa"/>
              <w:left w:w="100" w:type="dxa"/>
              <w:right w:w="100" w:type="dxa"/>
            </w:tcMar>
            <w:shd w:fill="F2F5F8"/>
          </w:tcPr>
          <w:p>
            <w:pPr>
              <w:widowControl/>
              <w:spacing w:after="0" w:line="278" w:lineRule="auto"/>
            </w:pPr>
            <w:r>
              <w:rPr>
                <w:sz w:val="20"/>
              </w:rPr>
              <w:t>一种方案换几个小参数，不足以展示不同方案实例</w:t>
            </w:r>
          </w:p>
        </w:tc>
      </w:tr>
    </w:tbl>
    <w:p>
      <w:pPr>
        <w:spacing w:after="60" w:before="0" w:line="120" w:lineRule="auto"/>
      </w:pPr>
      <w:r>
        <w:rPr>
          <w:sz w:val="4"/>
        </w:rPr>
      </w:r>
    </w:p>
    <w:p>
      <w:r>
        <w:t>赛题最低明确要求至少一种 LWE/SIS 完整实例，并能扩展其他格困难假设组件。它没有明确要求全部环格和模格变体必须完成，也没有给出固定测试次数、速度上限、128 位安全门槛、指定开发语言或公开评分权重。我们可以自设更高目标，但报告必须把官方要求与团队目标分开。</w:t>
      </w:r>
    </w:p>
    <w:p>
      <w:r>
        <w:t>C/C++ 出现在所需知识中，可作为优化实现路线；它不意味着 Python 参考实现不允许存在。建议保留易审查的 Python 或 Sage 数学参考层，把有实测瓶颈的运算迁移到 C/C++。64 位多核和 16 GB 以上内存是题目建议配置。</w:t>
      </w:r>
    </w:p>
    <w:p>
      <w:r>
        <w:t>“抗量子”需要说明所采用的格困难假设与攻击模型。使用 SHAKE 或格矩阵并不能直接得到完整 QROM 证明，更不能得到 NIST 安全等级。标准模型与标准假设也不是同一个概念：一种方案可以基于标准 LWE 假设，但证明仍在 ROM 或 QROM 中。</w:t>
      </w:r>
    </w:p>
    <w:p>
      <w:pPr>
        <w:pStyle w:val="Heading1"/>
      </w:pPr>
      <w:r>
        <w:t>4 我们现在做的是什么</w:t>
      </w:r>
    </w:p>
    <w:p>
      <w:pPr>
        <w:pStyle w:val="Heading2"/>
      </w:pPr>
      <w:r>
        <w:t>4.1 用户与密钥的含义</w:t>
      </w:r>
    </w:p>
    <w:p>
      <w:r>
        <w:t xml:space="preserve">IBME 可以理解为双方各自声明希望通信的对象。发送者 Alice 持有绑定自身身份的发送密钥，并将消息加密给指定接收者 Bob；Bob 持有绑定自身身份的接收密钥，并指定自己愿意接收的发送者 Alice。设实际发送者身份为 </w:t>
      </w:r>
      <m:oMath>
        <m:r>
          <m:t>ϕ</m:t>
        </m:r>
      </m:oMath>
      <w:r>
        <w:t xml:space="preserve">，接收密钥身份为 </w:t>
      </w:r>
      <m:oMath>
        <m:r>
          <m:t>ρ</m:t>
        </m:r>
      </m:oMath>
      <w:r>
        <w:t xml:space="preserve">，加密指定的接收者为 </w:t>
      </w:r>
      <m:oMath>
        <m:r>
          <m:rPr>
            <m:sty m:val="p"/>
          </m:rPr>
          <m:t>rcv</m:t>
        </m:r>
      </m:oMath>
      <w:r>
        <w:t xml:space="preserve">，解密指定的发送者为 </w:t>
      </w:r>
      <m:oMath>
        <m:r>
          <m:rPr>
            <m:sty m:val="p"/>
          </m:rPr>
          <m:t>snd</m:t>
        </m:r>
      </m:oMath>
      <w:r>
        <w:t>，正确恢复要求</w:t>
      </w:r>
    </w:p>
    <w:p>
      <w:pPr>
        <w:spacing w:before="60" w:after="140"/>
        <w:jc w:val="center"/>
      </w:pPr>
      <m:oMath>
        <m:r>
          <m:t>ρ=</m:t>
        </m:r>
        <m:r>
          <m:rPr>
            <m:sty m:val="p"/>
          </m:rPr>
          <m:t>rcv</m:t>
        </m:r>
        <m:r>
          <m:t>∧</m:t>
        </m:r>
        <m:r>
          <m:rPr>
            <m:sty m:val="p"/>
          </m:rPr>
          <m:t>snd</m:t>
        </m:r>
        <m:r>
          <m:t>=ϕ.</m:t>
        </m:r>
      </m:oMath>
    </w:p>
    <w:p>
      <w:r>
        <w:t>系统中心生成主公钥和主密钥，并发放两种用户密钥。发送密钥用于身份证明，接收密钥用于取得消息。这里的“公开身份字符串”并不表示用户密钥公开，也不表示签名可以靠普通公钥签名直接替代。系统中心通常有生成用户密钥的能力，存在密钥托管信任；现实中的身份核验、发钥权限和撤销需要另外设计。</w:t>
      </w:r>
    </w:p>
    <w:p>
      <w:pPr>
        <w:pStyle w:val="Heading2"/>
      </w:pPr>
      <w:r>
        <w:t>4.2 当前通用组合的五个算法</w:t>
      </w:r>
    </w:p>
    <w:p>
      <w:r>
        <w:t xml:space="preserve">当前 </w:t>
      </w:r>
      <w:r>
        <w:rPr>
          <w:rFonts w:ascii="Consolas" w:hAnsi="Consolas"/>
          <w:sz w:val="19"/>
        </w:rPr>
        <w:t>BaselineIBME</w:t>
      </w:r>
      <w:r>
        <w:t xml:space="preserve"> 实现采用两层 HIBE 加 IBS。HIBE 身份顺序固定为接收者在第一层、发送者在第二层，即 </w:t>
      </w:r>
      <w:r>
        <w:rPr>
          <w:rFonts w:ascii="Consolas" w:hAnsi="Consolas"/>
          <w:sz w:val="19"/>
        </w:rPr>
        <w:t>(rcv, phi)</w:t>
      </w:r>
      <w:r>
        <w:t>。这与“发送者先加密、接收者后解密”的时间顺序不同，不能交换。</w:t>
      </w:r>
    </w:p>
    <w:p>
      <w:r>
        <w:t>Setup 分别建立 HIBE 和 IBS，输出组合公钥与组合主密钥。SKGen 为发送者身份提取 IBS 签名密钥。RKGen 为接收者身份提取 HIBE 第一层密钥。Enc 先对接收者身份和消息的规范编码签名，再把签名和消息放入 HIBE 加密载荷。Dec 用接收者密钥和期望发送者身份派生第二层密钥，解密、解析，再验签。</w:t>
      </w:r>
    </w:p>
    <w:p>
      <w:pPr>
        <w:spacing w:before="60" w:after="140"/>
        <w:jc w:val="center"/>
      </w:pPr>
      <m:oMath>
        <m:r>
          <m:t>t←</m:t>
        </m:r>
        <m:r>
          <m:t>IBS.Sign</m:t>
        </m:r>
        <m:r>
          <m:t>(e</m:t>
        </m:r>
        <m:sSub>
          <m:e>
            <m:r>
              <m:t>k</m:t>
            </m:r>
          </m:e>
          <m:sub>
            <m:r>
              <m:t>ϕ</m:t>
            </m:r>
          </m:sub>
        </m:sSub>
        <m:r>
          <m:t>,Encode(</m:t>
        </m:r>
        <m:r>
          <m:rPr>
            <m:sty m:val="p"/>
          </m:rPr>
          <m:t>rcv</m:t>
        </m:r>
        <m:r>
          <m:t>,m)).</m:t>
        </m:r>
      </m:oMath>
    </w:p>
    <w:p>
      <w:pPr>
        <w:spacing w:before="60" w:after="140"/>
        <w:jc w:val="center"/>
      </w:pPr>
      <m:oMath>
        <m:r>
          <m:t>ct←</m:t>
        </m:r>
        <m:r>
          <m:t>HIBE.Enc</m:t>
        </m:r>
        <m:r>
          <m:t>(hpk,(</m:t>
        </m:r>
        <m:r>
          <m:rPr>
            <m:sty m:val="p"/>
          </m:rPr>
          <m:t>rcv</m:t>
        </m:r>
        <m:r>
          <m:t>,ϕ),Encode(t,m)).</m:t>
        </m:r>
      </m:oMath>
    </w:p>
    <w:p>
      <w:pPr>
        <w:spacing w:before="60" w:after="140"/>
        <w:jc w:val="center"/>
      </w:pPr>
      <m:oMath>
        <m:r>
          <m:t>s</m:t>
        </m:r>
        <m:sSub>
          <m:e>
            <m:r>
              <m:t>k</m:t>
            </m:r>
          </m:e>
          <m:sub>
            <m:r>
              <m:t>ρ,</m:t>
            </m:r>
            <m:r>
              <m:rPr>
                <m:sty m:val="p"/>
              </m:rPr>
              <m:t>snd</m:t>
            </m:r>
          </m:sub>
        </m:sSub>
        <m:r>
          <m:t>←</m:t>
        </m:r>
        <m:r>
          <m:t>HIBE.Derive</m:t>
        </m:r>
        <m:r>
          <m:t>(d</m:t>
        </m:r>
        <m:sSub>
          <m:e>
            <m:r>
              <m:t>k</m:t>
            </m:r>
          </m:e>
          <m:sub>
            <m:r>
              <m:t>ρ</m:t>
            </m:r>
          </m:sub>
        </m:sSub>
        <m:r>
          <m:t>,</m:t>
        </m:r>
        <m:r>
          <m:rPr>
            <m:sty m:val="p"/>
          </m:rPr>
          <m:t>snd</m:t>
        </m:r>
        <m:r>
          <m:t>).</m:t>
        </m:r>
      </m:oMath>
    </w:p>
    <w:p>
      <w:pPr>
        <w:spacing w:before="60" w:after="140"/>
        <w:jc w:val="center"/>
      </w:pPr>
      <m:oMath>
        <m:r>
          <m:t/>
        </m:r>
        <m:r>
          <m:t>IBS.Verify</m:t>
        </m:r>
        <m:r>
          <m:t>(ipk,</m:t>
        </m:r>
        <m:r>
          <m:rPr>
            <m:sty m:val="p"/>
          </m:rPr>
          <m:t>snd</m:t>
        </m:r>
        <m:r>
          <m:t>,Encode(ρ,m),t)=1.</m:t>
        </m:r>
      </m:oMath>
    </w:p>
    <w:p>
      <w:r>
        <w:t xml:space="preserve">最后一式成立且解析合法，接口才返回消息，否则返回 </w:t>
      </w:r>
      <w:r>
        <w:rPr>
          <w:rFonts w:ascii="Consolas" w:hAnsi="Consolas"/>
          <w:sz w:val="19"/>
        </w:rPr>
        <w:t>BOTTOM</w:t>
      </w:r>
      <w:r>
        <w:t>。密码输入失败与程序调用错误应区分：类型或配置错误可以抛异常，攻击者提供的非法密文应有稳定的拒绝语义。</w:t>
      </w:r>
    </w:p>
    <w:p>
      <w:r>
        <w:t>将签名藏在加密内部有明确用途：公开可验的签名可能帮助攻击者枚举发送者身份。将接收者身份包含在签名消息内，则绑定消息的接收目标。但这些结构性安排只有在原语、参数和安全模型均满足组合定理时，才能支撑相应安全结论。Wang 等的通用构造是当前路线的重要理论依据。[S1]</w:t>
      </w:r>
    </w:p>
    <w:p>
      <w:pPr>
        <w:pStyle w:val="Heading2"/>
      </w:pPr>
      <w:r>
        <w:t>4.3 已有模块与可保留资产</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872"/>
        <w:gridCol w:w="3888"/>
        <w:gridCol w:w="4320"/>
      </w:tblGrid>
      <w:tr>
        <w:trPr>
          <w:cantSplit/>
          <w:tblHeader w:val="true"/>
        </w:trPr>
        <w:tc>
          <w:tcPr>
            <w:tcW w:type="dxa" w:w="1872"/>
            <w:vAlign w:val="center"/>
            <w:tcMar>
              <w:top w:w="85" w:type="dxa"/>
              <w:bottom w:w="85" w:type="dxa"/>
              <w:left w:w="100" w:type="dxa"/>
              <w:right w:w="100" w:type="dxa"/>
            </w:tcMar>
            <w:shd w:fill="17365D"/>
          </w:tcPr>
          <w:p>
            <w:pPr>
              <w:widowControl/>
              <w:spacing w:after="0" w:line="278" w:lineRule="auto"/>
              <w:jc w:val="center"/>
            </w:pPr>
            <w:r>
              <w:rPr>
                <w:b/>
                <w:color w:val="FFFFFF"/>
                <w:sz w:val="20"/>
              </w:rPr>
              <w:t>模块</w:t>
            </w:r>
          </w:p>
        </w:tc>
        <w:tc>
          <w:tcPr>
            <w:tcW w:type="dxa" w:w="3888"/>
            <w:vAlign w:val="center"/>
            <w:tcMar>
              <w:top w:w="85" w:type="dxa"/>
              <w:bottom w:w="85" w:type="dxa"/>
              <w:left w:w="100" w:type="dxa"/>
              <w:right w:w="100" w:type="dxa"/>
            </w:tcMar>
            <w:shd w:fill="17365D"/>
          </w:tcPr>
          <w:p>
            <w:pPr>
              <w:widowControl/>
              <w:spacing w:after="0" w:line="278" w:lineRule="auto"/>
              <w:jc w:val="center"/>
            </w:pPr>
            <w:r>
              <w:rPr>
                <w:b/>
                <w:color w:val="FFFFFF"/>
                <w:sz w:val="20"/>
              </w:rPr>
              <w:t>当前实现</w:t>
            </w:r>
          </w:p>
        </w:tc>
        <w:tc>
          <w:tcPr>
            <w:tcW w:type="dxa" w:w="4320"/>
            <w:vAlign w:val="center"/>
            <w:tcMar>
              <w:top w:w="85" w:type="dxa"/>
              <w:bottom w:w="85" w:type="dxa"/>
              <w:left w:w="100" w:type="dxa"/>
              <w:right w:w="100" w:type="dxa"/>
            </w:tcMar>
            <w:shd w:fill="17365D"/>
          </w:tcPr>
          <w:p>
            <w:pPr>
              <w:widowControl/>
              <w:spacing w:after="0" w:line="278" w:lineRule="auto"/>
              <w:jc w:val="center"/>
            </w:pPr>
            <w:r>
              <w:rPr>
                <w:b/>
                <w:color w:val="FFFFFF"/>
                <w:sz w:val="20"/>
              </w:rPr>
              <w:t>保留与重建判断</w:t>
            </w:r>
          </w:p>
        </w:tc>
      </w:tr>
      <w:tr>
        <w:trPr>
          <w:cantSplit/>
        </w:trPr>
        <w:tc>
          <w:tcPr>
            <w:tcW w:type="dxa" w:w="1872"/>
            <w:vAlign w:val="center"/>
            <w:tcMar>
              <w:top w:w="85" w:type="dxa"/>
              <w:bottom w:w="85" w:type="dxa"/>
              <w:left w:w="100" w:type="dxa"/>
              <w:right w:w="100" w:type="dxa"/>
            </w:tcMar>
            <w:shd w:fill="F2F5F8"/>
          </w:tcPr>
          <w:p>
            <w:pPr>
              <w:widowControl/>
              <w:spacing w:after="0" w:line="278" w:lineRule="auto"/>
            </w:pPr>
            <w:r>
              <w:rPr>
                <w:sz w:val="20"/>
              </w:rPr>
              <w:t>Core</w:t>
            </w:r>
          </w:p>
        </w:tc>
        <w:tc>
          <w:tcPr>
            <w:tcW w:type="dxa" w:w="3888"/>
            <w:vAlign w:val="center"/>
            <w:tcMar>
              <w:top w:w="85" w:type="dxa"/>
              <w:bottom w:w="85" w:type="dxa"/>
              <w:left w:w="100" w:type="dxa"/>
              <w:right w:w="100" w:type="dxa"/>
            </w:tcMar>
            <w:shd w:fill="F2F5F8"/>
          </w:tcPr>
          <w:p>
            <w:pPr>
              <w:widowControl/>
              <w:spacing w:after="0" w:line="278" w:lineRule="auto"/>
            </w:pPr>
            <w:r>
              <w:rPr>
                <w:sz w:val="20"/>
              </w:rPr>
              <w:t>参数对象、长度前缀编码、域分隔哈希、随机源和公共接口</w:t>
            </w:r>
          </w:p>
        </w:tc>
        <w:tc>
          <w:tcPr>
            <w:tcW w:type="dxa" w:w="4320"/>
            <w:vAlign w:val="center"/>
            <w:tcMar>
              <w:top w:w="85" w:type="dxa"/>
              <w:bottom w:w="85" w:type="dxa"/>
              <w:left w:w="100" w:type="dxa"/>
              <w:right w:w="100" w:type="dxa"/>
            </w:tcMar>
            <w:shd w:fill="F2F5F8"/>
          </w:tcPr>
          <w:p>
            <w:pPr>
              <w:widowControl/>
              <w:spacing w:after="0" w:line="278" w:lineRule="auto"/>
            </w:pPr>
            <w:r>
              <w:rPr>
                <w:sz w:val="20"/>
              </w:rPr>
              <w:t>基本组织可保留，扩展配置及严格验证</w:t>
            </w:r>
          </w:p>
        </w:tc>
      </w:tr>
      <w:tr>
        <w:trPr>
          <w:cantSplit/>
        </w:trPr>
        <w:tc>
          <w:tcPr>
            <w:tcW w:type="dxa" w:w="1872"/>
            <w:vAlign w:val="center"/>
            <w:tcMar>
              <w:top w:w="85" w:type="dxa"/>
              <w:bottom w:w="85" w:type="dxa"/>
              <w:left w:w="100" w:type="dxa"/>
              <w:right w:w="100" w:type="dxa"/>
            </w:tcMar>
            <w:shd w:fill="FFFFFF"/>
          </w:tcPr>
          <w:p>
            <w:pPr>
              <w:widowControl/>
              <w:spacing w:after="0" w:line="278" w:lineRule="auto"/>
            </w:pPr>
            <w:r>
              <w:rPr>
                <w:sz w:val="20"/>
              </w:rPr>
              <w:t>Lattice</w:t>
            </w:r>
          </w:p>
        </w:tc>
        <w:tc>
          <w:tcPr>
            <w:tcW w:type="dxa" w:w="3888"/>
            <w:vAlign w:val="center"/>
            <w:tcMar>
              <w:top w:w="85" w:type="dxa"/>
              <w:bottom w:w="85" w:type="dxa"/>
              <w:left w:w="100" w:type="dxa"/>
              <w:right w:w="100" w:type="dxa"/>
            </w:tcMar>
            <w:shd w:fill="FFFFFF"/>
          </w:tcPr>
          <w:p>
            <w:pPr>
              <w:widowControl/>
              <w:spacing w:after="0" w:line="278" w:lineRule="auto"/>
            </w:pPr>
            <w:r>
              <w:rPr>
                <w:sz w:val="20"/>
              </w:rPr>
              <w:t>模矩阵、向量、gadget、离散高斯、简化陷门</w:t>
            </w:r>
          </w:p>
        </w:tc>
        <w:tc>
          <w:tcPr>
            <w:tcW w:type="dxa" w:w="4320"/>
            <w:vAlign w:val="center"/>
            <w:tcMar>
              <w:top w:w="85" w:type="dxa"/>
              <w:bottom w:w="85" w:type="dxa"/>
              <w:left w:w="100" w:type="dxa"/>
              <w:right w:w="100" w:type="dxa"/>
            </w:tcMar>
            <w:shd w:fill="FFFFFF"/>
          </w:tcPr>
          <w:p>
            <w:pPr>
              <w:widowControl/>
              <w:spacing w:after="0" w:line="278" w:lineRule="auto"/>
            </w:pPr>
            <w:r>
              <w:rPr>
                <w:sz w:val="20"/>
              </w:rPr>
              <w:t>可作参考和测试资产，采样与参数需重新论证</w:t>
            </w:r>
          </w:p>
        </w:tc>
      </w:tr>
      <w:tr>
        <w:trPr>
          <w:cantSplit/>
        </w:trPr>
        <w:tc>
          <w:tcPr>
            <w:tcW w:type="dxa" w:w="1872"/>
            <w:vAlign w:val="center"/>
            <w:tcMar>
              <w:top w:w="85" w:type="dxa"/>
              <w:bottom w:w="85" w:type="dxa"/>
              <w:left w:w="100" w:type="dxa"/>
              <w:right w:w="100" w:type="dxa"/>
            </w:tcMar>
            <w:shd w:fill="F2F5F8"/>
          </w:tcPr>
          <w:p>
            <w:pPr>
              <w:widowControl/>
              <w:spacing w:after="0" w:line="278" w:lineRule="auto"/>
            </w:pPr>
            <w:r>
              <w:rPr>
                <w:sz w:val="20"/>
              </w:rPr>
              <w:t>HIBE</w:t>
            </w:r>
          </w:p>
        </w:tc>
        <w:tc>
          <w:tcPr>
            <w:tcW w:type="dxa" w:w="3888"/>
            <w:vAlign w:val="center"/>
            <w:tcMar>
              <w:top w:w="85" w:type="dxa"/>
              <w:bottom w:w="85" w:type="dxa"/>
              <w:left w:w="100" w:type="dxa"/>
              <w:right w:w="100" w:type="dxa"/>
            </w:tcMar>
            <w:shd w:fill="F2F5F8"/>
          </w:tcPr>
          <w:p>
            <w:pPr>
              <w:widowControl/>
              <w:spacing w:after="0" w:line="278" w:lineRule="auto"/>
            </w:pPr>
            <w:r>
              <w:rPr>
                <w:rFonts w:ascii="Consolas" w:hAnsi="Consolas"/>
                <w:sz w:val="20"/>
              </w:rPr>
              <w:t>ABB10HIBE</w:t>
            </w:r>
            <w:r>
              <w:rPr>
                <w:sz w:val="20"/>
              </w:rPr>
              <w:t xml:space="preserve"> 两层派生与逐比特加密</w:t>
            </w:r>
          </w:p>
        </w:tc>
        <w:tc>
          <w:tcPr>
            <w:tcW w:type="dxa" w:w="4320"/>
            <w:vAlign w:val="center"/>
            <w:tcMar>
              <w:top w:w="85" w:type="dxa"/>
              <w:bottom w:w="85" w:type="dxa"/>
              <w:left w:w="100" w:type="dxa"/>
              <w:right w:w="100" w:type="dxa"/>
            </w:tcMar>
            <w:shd w:fill="F2F5F8"/>
          </w:tcPr>
          <w:p>
            <w:pPr>
              <w:widowControl/>
              <w:spacing w:after="0" w:line="278" w:lineRule="auto"/>
            </w:pPr>
            <w:r>
              <w:rPr>
                <w:sz w:val="20"/>
              </w:rPr>
              <w:t>教学后端，不能直接继承 ABB10 原论文证明</w:t>
            </w:r>
          </w:p>
        </w:tc>
      </w:tr>
      <w:tr>
        <w:trPr>
          <w:cantSplit/>
        </w:trPr>
        <w:tc>
          <w:tcPr>
            <w:tcW w:type="dxa" w:w="1872"/>
            <w:vAlign w:val="center"/>
            <w:tcMar>
              <w:top w:w="85" w:type="dxa"/>
              <w:bottom w:w="85" w:type="dxa"/>
              <w:left w:w="100" w:type="dxa"/>
              <w:right w:w="100" w:type="dxa"/>
            </w:tcMar>
            <w:shd w:fill="FFFFFF"/>
          </w:tcPr>
          <w:p>
            <w:pPr>
              <w:widowControl/>
              <w:spacing w:after="0" w:line="278" w:lineRule="auto"/>
            </w:pPr>
            <w:r>
              <w:rPr>
                <w:sz w:val="20"/>
              </w:rPr>
              <w:t>IBS</w:t>
            </w:r>
          </w:p>
        </w:tc>
        <w:tc>
          <w:tcPr>
            <w:tcW w:type="dxa" w:w="3888"/>
            <w:vAlign w:val="center"/>
            <w:tcMar>
              <w:top w:w="85" w:type="dxa"/>
              <w:bottom w:w="85" w:type="dxa"/>
              <w:left w:w="100" w:type="dxa"/>
              <w:right w:w="100" w:type="dxa"/>
            </w:tcMar>
            <w:shd w:fill="FFFFFF"/>
          </w:tcPr>
          <w:p>
            <w:pPr>
              <w:widowControl/>
              <w:spacing w:after="0" w:line="278" w:lineRule="auto"/>
            </w:pPr>
            <w:r>
              <w:rPr>
                <w:rFonts w:ascii="Consolas" w:hAnsi="Consolas"/>
                <w:sz w:val="20"/>
              </w:rPr>
              <w:t>SisIBSBackend</w:t>
            </w:r>
            <w:r>
              <w:rPr>
                <w:sz w:val="20"/>
              </w:rPr>
              <w:t xml:space="preserve"> 短向量方程签名</w:t>
            </w:r>
          </w:p>
        </w:tc>
        <w:tc>
          <w:tcPr>
            <w:tcW w:type="dxa" w:w="4320"/>
            <w:vAlign w:val="center"/>
            <w:tcMar>
              <w:top w:w="85" w:type="dxa"/>
              <w:bottom w:w="85" w:type="dxa"/>
              <w:left w:w="100" w:type="dxa"/>
              <w:right w:w="100" w:type="dxa"/>
            </w:tcMar>
            <w:shd w:fill="FFFFFF"/>
          </w:tcPr>
          <w:p>
            <w:pPr>
              <w:widowControl/>
              <w:spacing w:after="0" w:line="278" w:lineRule="auto"/>
            </w:pPr>
            <w:r>
              <w:rPr>
                <w:sz w:val="20"/>
              </w:rPr>
              <w:t>当前参数可伪造，需要重做算法和参数映射</w:t>
            </w:r>
          </w:p>
        </w:tc>
      </w:tr>
      <w:tr>
        <w:trPr>
          <w:cantSplit/>
        </w:trPr>
        <w:tc>
          <w:tcPr>
            <w:tcW w:type="dxa" w:w="1872"/>
            <w:vAlign w:val="center"/>
            <w:tcMar>
              <w:top w:w="85" w:type="dxa"/>
              <w:bottom w:w="85" w:type="dxa"/>
              <w:left w:w="100" w:type="dxa"/>
              <w:right w:w="100" w:type="dxa"/>
            </w:tcMar>
            <w:shd w:fill="F2F5F8"/>
          </w:tcPr>
          <w:p>
            <w:pPr>
              <w:widowControl/>
              <w:spacing w:after="0" w:line="278" w:lineRule="auto"/>
            </w:pPr>
            <w:r>
              <w:rPr>
                <w:sz w:val="20"/>
              </w:rPr>
              <w:t>Protocol</w:t>
            </w:r>
          </w:p>
        </w:tc>
        <w:tc>
          <w:tcPr>
            <w:tcW w:type="dxa" w:w="3888"/>
            <w:vAlign w:val="center"/>
            <w:tcMar>
              <w:top w:w="85" w:type="dxa"/>
              <w:bottom w:w="85" w:type="dxa"/>
              <w:left w:w="100" w:type="dxa"/>
              <w:right w:w="100" w:type="dxa"/>
            </w:tcMar>
            <w:shd w:fill="F2F5F8"/>
          </w:tcPr>
          <w:p>
            <w:pPr>
              <w:widowControl/>
              <w:spacing w:after="0" w:line="278" w:lineRule="auto"/>
            </w:pPr>
            <w:r>
              <w:rPr>
                <w:rFonts w:ascii="Consolas" w:hAnsi="Consolas"/>
                <w:sz w:val="20"/>
              </w:rPr>
              <w:t>BaselineIBME</w:t>
            </w:r>
            <w:r>
              <w:rPr>
                <w:sz w:val="20"/>
              </w:rPr>
              <w:t xml:space="preserve"> 组合和失败语义</w:t>
            </w:r>
          </w:p>
        </w:tc>
        <w:tc>
          <w:tcPr>
            <w:tcW w:type="dxa" w:w="4320"/>
            <w:vAlign w:val="center"/>
            <w:tcMar>
              <w:top w:w="85" w:type="dxa"/>
              <w:bottom w:w="85" w:type="dxa"/>
              <w:left w:w="100" w:type="dxa"/>
              <w:right w:w="100" w:type="dxa"/>
            </w:tcMar>
            <w:shd w:fill="F2F5F8"/>
          </w:tcPr>
          <w:p>
            <w:pPr>
              <w:widowControl/>
              <w:spacing w:after="0" w:line="278" w:lineRule="auto"/>
            </w:pPr>
            <w:r>
              <w:rPr>
                <w:sz w:val="20"/>
              </w:rPr>
              <w:t>流程骨架可用，安全目标与接口可能需扩展</w:t>
            </w:r>
          </w:p>
        </w:tc>
      </w:tr>
      <w:tr>
        <w:trPr>
          <w:cantSplit/>
        </w:trPr>
        <w:tc>
          <w:tcPr>
            <w:tcW w:type="dxa" w:w="1872"/>
            <w:vAlign w:val="center"/>
            <w:tcMar>
              <w:top w:w="85" w:type="dxa"/>
              <w:bottom w:w="85" w:type="dxa"/>
              <w:left w:w="100" w:type="dxa"/>
              <w:right w:w="100" w:type="dxa"/>
            </w:tcMar>
            <w:shd w:fill="FFFFFF"/>
          </w:tcPr>
          <w:p>
            <w:pPr>
              <w:widowControl/>
              <w:spacing w:after="0" w:line="278" w:lineRule="auto"/>
            </w:pPr>
            <w:r>
              <w:rPr>
                <w:sz w:val="20"/>
              </w:rPr>
              <w:t>CLI 与实验</w:t>
            </w:r>
          </w:p>
        </w:tc>
        <w:tc>
          <w:tcPr>
            <w:tcW w:type="dxa" w:w="3888"/>
            <w:vAlign w:val="center"/>
            <w:tcMar>
              <w:top w:w="85" w:type="dxa"/>
              <w:bottom w:w="85" w:type="dxa"/>
              <w:left w:w="100" w:type="dxa"/>
              <w:right w:w="100" w:type="dxa"/>
            </w:tcMar>
            <w:shd w:fill="FFFFFF"/>
          </w:tcPr>
          <w:p>
            <w:pPr>
              <w:widowControl/>
              <w:spacing w:after="0" w:line="278" w:lineRule="auto"/>
            </w:pPr>
            <w:r>
              <w:rPr>
                <w:sz w:val="20"/>
              </w:rPr>
              <w:t>mock 或一对真实教学后端、历史基准和攻击脚本</w:t>
            </w:r>
          </w:p>
        </w:tc>
        <w:tc>
          <w:tcPr>
            <w:tcW w:type="dxa" w:w="4320"/>
            <w:vAlign w:val="center"/>
            <w:tcMar>
              <w:top w:w="85" w:type="dxa"/>
              <w:bottom w:w="85" w:type="dxa"/>
              <w:left w:w="100" w:type="dxa"/>
              <w:right w:w="100" w:type="dxa"/>
            </w:tcMar>
            <w:shd w:fill="FFFFFF"/>
          </w:tcPr>
          <w:p>
            <w:pPr>
              <w:widowControl/>
              <w:spacing w:after="0" w:line="278" w:lineRule="auto"/>
            </w:pPr>
            <w:r>
              <w:rPr>
                <w:sz w:val="20"/>
              </w:rPr>
              <w:t>演示入口可用，需要真实方案注册与公平评测</w:t>
            </w:r>
          </w:p>
        </w:tc>
      </w:tr>
    </w:tbl>
    <w:p>
      <w:pPr>
        <w:spacing w:after="60" w:before="0" w:line="120" w:lineRule="auto"/>
      </w:pPr>
      <w:r>
        <w:rPr>
          <w:sz w:val="4"/>
        </w:rPr>
      </w:r>
    </w:p>
    <w:p>
      <w:r>
        <w:t xml:space="preserve">主要实现路径是 </w:t>
      </w:r>
      <w:r>
        <w:rPr>
          <w:rFonts w:ascii="Consolas" w:hAnsi="Consolas"/>
          <w:sz w:val="19"/>
        </w:rPr>
        <w:t>src/ibme/core/</w:t>
      </w:r>
      <w:r>
        <w:t>、</w:t>
      </w:r>
      <w:r>
        <w:rPr>
          <w:rFonts w:ascii="Consolas" w:hAnsi="Consolas"/>
          <w:sz w:val="19"/>
        </w:rPr>
        <w:t>src/ibme/lattice/</w:t>
      </w:r>
      <w:r>
        <w:t>、</w:t>
      </w:r>
      <w:r>
        <w:rPr>
          <w:rFonts w:ascii="Consolas" w:hAnsi="Consolas"/>
          <w:sz w:val="19"/>
        </w:rPr>
        <w:t>src/ibme/hibe/abb10.py</w:t>
      </w:r>
      <w:r>
        <w:t>、</w:t>
      </w:r>
      <w:r>
        <w:rPr>
          <w:rFonts w:ascii="Consolas" w:hAnsi="Consolas"/>
          <w:sz w:val="19"/>
        </w:rPr>
        <w:t>src/ibme/ibs/sis_ibs.py</w:t>
      </w:r>
      <w:r>
        <w:t xml:space="preserve"> 和 </w:t>
      </w:r>
      <w:r>
        <w:rPr>
          <w:rFonts w:ascii="Consolas" w:hAnsi="Consolas"/>
          <w:sz w:val="19"/>
        </w:rPr>
        <w:t>src/ibme/protocol/baseline.py</w:t>
      </w:r>
      <w:r>
        <w:t>。公共接口减少了协议直接读取内部矩阵或私钥的需求，这一点值得保留。</w:t>
      </w:r>
    </w:p>
    <w:p>
      <w:r>
        <w:t>当前生产随机源使用系统安全随机；测试随机源是可复现的 SHAKE 流。两者已有区分，之后不能为加速把生产路径改成固定种子。规范编码已有长度前缀与域分隔，但身份 Unicode 规范化、协议版本和密钥版本的绑定，需要在新规范中明确。</w:t>
      </w:r>
    </w:p>
    <w:p>
      <w:r>
        <w:t xml:space="preserve">当前 CLI 的可选路径主要是 mock 组合和 </w:t>
      </w:r>
      <w:r>
        <w:rPr>
          <w:rFonts w:ascii="Consolas" w:hAnsi="Consolas"/>
          <w:sz w:val="19"/>
        </w:rPr>
        <w:t>abb10</w:t>
      </w:r>
      <w:r>
        <w:t xml:space="preserve"> 加 </w:t>
      </w:r>
      <w:r>
        <w:rPr>
          <w:rFonts w:ascii="Consolas" w:hAnsi="Consolas"/>
          <w:sz w:val="19"/>
        </w:rPr>
        <w:t>sis</w:t>
      </w:r>
      <w:r>
        <w:t>。已有参数样例并不等于已实现任意配置加载、方案注册和安全兼容性校验，也不能把 mock 当成第二种真实格密码方案。</w:t>
      </w:r>
    </w:p>
    <w:p>
      <w:pPr>
        <w:pStyle w:val="Heading2"/>
      </w:pPr>
      <w:r>
        <w:t>4.4 底层算法目前的具体形式</w:t>
      </w:r>
    </w:p>
    <w:p>
      <w:r>
        <w:t>当前陷门公矩阵采用 MP12 风格的 gadget 关系</w:t>
      </w:r>
    </w:p>
    <w:p>
      <w:pPr>
        <w:spacing w:before="60" w:after="140"/>
        <w:jc w:val="center"/>
      </w:pPr>
      <m:oMath>
        <m:r>
          <m:t>A=[</m:t>
        </m:r>
        <m:bar>
          <m:barPr>
            <m:pos m:val="top"/>
          </m:barPr>
          <m:e>
            <m:r>
              <m:t>A</m:t>
            </m:r>
          </m:e>
        </m:bar>
        <m:r>
          <m:t>|G−</m:t>
        </m:r>
        <m:bar>
          <m:barPr>
            <m:pos m:val="top"/>
          </m:barPr>
          <m:e>
            <m:r>
              <m:t>A</m:t>
            </m:r>
          </m:e>
        </m:bar>
        <m:r>
          <m:t>R],</m:t>
        </m:r>
        <m:r>
          <m:t>A[</m:t>
        </m:r>
        <m:eqArr>
          <m:e>
            <m:r>
              <m:t>R</m:t>
            </m:r>
          </m:e>
          <m:e>
            <m:r>
              <m:t>I</m:t>
            </m:r>
          </m:e>
        </m:eqArr>
        <m:r>
          <m:t>]=G.</m:t>
        </m:r>
      </m:oMath>
    </w:p>
    <w:p>
      <w:r>
        <w:t>这条代数等式能帮助构造短原像，但完整的论文采样还要求扰动、协方差条件、输出分布及陷门独立性。当前实现保留了代数骨架，没有实现完整证明所需的采样程序。它是“能求解方程”的实现，不足以认定为“满足论文要求分布”的实现。[S2]</w:t>
      </w:r>
    </w:p>
    <w:p>
      <w:r>
        <w:t>当前 HIBE 的身份矩阵拼接为</w:t>
      </w:r>
    </w:p>
    <w:p>
      <w:pPr>
        <w:spacing w:before="60" w:after="140"/>
        <w:jc w:val="center"/>
      </w:pPr>
      <m:oMath>
        <m:sSub>
          <m:e>
            <m:r>
              <m:t>B</m:t>
            </m:r>
          </m:e>
          <m:sub>
            <m:r>
              <m:rPr>
                <m:sty m:val="p"/>
              </m:rPr>
              <m:t>rcv</m:t>
            </m:r>
            <m:r>
              <m:t>,ϕ</m:t>
            </m:r>
          </m:sub>
        </m:sSub>
        <m:r>
          <m:t>=[A|H(</m:t>
        </m:r>
        <m:r>
          <m:rPr>
            <m:sty m:val="p"/>
          </m:rPr>
          <m:t>rcv</m:t>
        </m:r>
        <m:r>
          <m:t>)|H(</m:t>
        </m:r>
        <m:r>
          <m:rPr>
            <m:sty m:val="p"/>
          </m:rPr>
          <m:t>rcv</m:t>
        </m:r>
        <m:r>
          <m:t>,ϕ)].</m:t>
        </m:r>
      </m:oMath>
    </w:p>
    <w:p>
      <w:r>
        <w:t xml:space="preserve">对封装后明文的每个比特 </w:t>
      </w:r>
      <m:oMath>
        <m:sSub>
          <m:e>
            <m:r>
              <m:t>μ</m:t>
            </m:r>
          </m:e>
          <m:sub>
            <m:r>
              <m:t>j</m:t>
            </m:r>
          </m:sub>
        </m:sSub>
      </m:oMath>
      <w:r>
        <w:t xml:space="preserve">，代码重新采样均匀的模向量秘密 </w:t>
      </w:r>
      <m:oMath>
        <m:sSub>
          <m:e>
            <m:r>
              <m:t>s</m:t>
            </m:r>
          </m:e>
          <m:sub>
            <m:r>
              <m:t>j</m:t>
            </m:r>
          </m:sub>
        </m:sSub>
        <m:r>
          <m:t>∈</m:t>
        </m:r>
        <m:sSubSup>
          <m:e>
            <m:r>
              <m:rPr>
                <m:scr m:val="double-struck"/>
                <m:sty m:val="p"/>
              </m:rPr>
              <m:t>Z</m:t>
            </m:r>
          </m:e>
          <m:sub>
            <m:r>
              <m:t>q</m:t>
            </m:r>
          </m:sub>
          <m:sup>
            <m:r>
              <m:t>n</m:t>
            </m:r>
          </m:sup>
        </m:sSubSup>
      </m:oMath>
      <w:r>
        <w:t xml:space="preserve"> 与高斯噪声，计算向量部分和标量部分</w:t>
      </w:r>
    </w:p>
    <w:p>
      <w:pPr>
        <w:spacing w:before="60" w:after="140"/>
        <w:jc w:val="center"/>
      </w:pPr>
      <m:oMath>
        <m:sSubSup>
          <m:e>
            <m:r>
              <m:t>c</m:t>
            </m:r>
          </m:e>
          <m:sub>
            <m:r>
              <m:t>2</m:t>
            </m:r>
          </m:sub>
          <m:sup>
            <m:d>
              <m:dPr>
                <m:sepChr m:val=""/>
              </m:dPr>
              <m:e>
                <m:r>
                  <m:t>j</m:t>
                </m:r>
              </m:e>
            </m:d>
          </m:sup>
        </m:sSubSup>
        <m:r>
          <m:t>=</m:t>
        </m:r>
        <m:sSubSup>
          <m:e>
            <m:r>
              <m:t>B</m:t>
            </m:r>
          </m:e>
          <m:sub>
            <m:r>
              <m:rPr>
                <m:sty m:val="p"/>
              </m:rPr>
              <m:t>rcv</m:t>
            </m:r>
            <m:r>
              <m:t>,ϕ</m:t>
            </m:r>
          </m:sub>
          <m:sup>
            <m:r>
              <m:t>T</m:t>
            </m:r>
          </m:sup>
        </m:sSubSup>
        <m:sSub>
          <m:e>
            <m:r>
              <m:t>s</m:t>
            </m:r>
          </m:e>
          <m:sub>
            <m:r>
              <m:t>j</m:t>
            </m:r>
          </m:sub>
        </m:sSub>
        <m:r>
          <m:t>+</m:t>
        </m:r>
        <m:sSubSup>
          <m:e>
            <m:r>
              <m:t>e</m:t>
            </m:r>
          </m:e>
          <m:sub>
            <m:r>
              <m:t>2</m:t>
            </m:r>
          </m:sub>
          <m:sup>
            <m:d>
              <m:dPr>
                <m:sepChr m:val=""/>
              </m:dPr>
              <m:e>
                <m:r>
                  <m:t>j</m:t>
                </m:r>
              </m:e>
            </m:d>
          </m:sup>
        </m:sSubSup>
        <m:r>
          <m:t>(</m:t>
        </m:r>
        <m:r>
          <m:rPr>
            <m:sty m:val="p"/>
          </m:rPr>
          <m:t>mod</m:t>
        </m:r>
        <m:r>
          <m:t>q).</m:t>
        </m:r>
      </m:oMath>
    </w:p>
    <w:p>
      <w:pPr>
        <w:spacing w:before="60" w:after="140"/>
        <w:jc w:val="center"/>
      </w:pPr>
      <m:oMath>
        <m:sSub>
          <m:e>
            <m:r>
              <m:t>c</m:t>
            </m:r>
          </m:e>
          <m:sub>
            <m:r>
              <m:t>1,j</m:t>
            </m:r>
          </m:sub>
        </m:sSub>
        <m:r>
          <m:t>=</m:t>
        </m:r>
        <m:sSup>
          <m:e>
            <m:r>
              <m:t>u</m:t>
            </m:r>
          </m:e>
          <m:sup>
            <m:r>
              <m:t>T</m:t>
            </m:r>
          </m:sup>
        </m:sSup>
        <m:sSub>
          <m:e>
            <m:r>
              <m:t>s</m:t>
            </m:r>
          </m:e>
          <m:sub>
            <m:r>
              <m:t>j</m:t>
            </m:r>
          </m:sub>
        </m:sSub>
        <m:r>
          <m:t>+</m:t>
        </m:r>
        <m:sSub>
          <m:e>
            <m:r>
              <m:t>e</m:t>
            </m:r>
          </m:e>
          <m:sub>
            <m:r>
              <m:t>1,j</m:t>
            </m:r>
          </m:sub>
        </m:sSub>
        <m:r>
          <m:t>+</m:t>
        </m:r>
        <m:sSub>
          <m:e>
            <m:r>
              <m:t>μ</m:t>
            </m:r>
          </m:e>
          <m:sub>
            <m:r>
              <m:t>j</m:t>
            </m:r>
          </m:sub>
        </m:sSub>
        <m:r>
          <m:t>floor(q/2)</m:t>
        </m:r>
        <m:r>
          <m:t>(</m:t>
        </m:r>
        <m:r>
          <m:rPr>
            <m:sty m:val="p"/>
          </m:rPr>
          <m:t>mod</m:t>
        </m:r>
        <m:r>
          <m:t>q).</m:t>
        </m:r>
      </m:oMath>
    </w:p>
    <w:p>
      <w:r>
        <w:t xml:space="preserve">解密使用派生陷门临时采样满足 </w:t>
      </w:r>
      <m:oMath>
        <m:sSub>
          <m:e>
            <m:r>
              <m:t>B</m:t>
            </m:r>
          </m:e>
          <m:sub>
            <m:r>
              <m:t>ρ,</m:t>
            </m:r>
            <m:r>
              <m:rPr>
                <m:sty m:val="p"/>
              </m:rPr>
              <m:t>snd</m:t>
            </m:r>
          </m:sub>
        </m:sSub>
        <m:r>
          <m:t>x=u</m:t>
        </m:r>
      </m:oMath>
      <w:r>
        <w:t xml:space="preserve"> 的原像，计算 </w:t>
      </w:r>
      <m:oMath>
        <m:sSub>
          <m:e>
            <m:r>
              <m:t>c</m:t>
            </m:r>
          </m:e>
          <m:sub>
            <m:r>
              <m:t>1,j</m:t>
            </m:r>
          </m:sub>
        </m:sSub>
        <m:r>
          <m:t>−</m:t>
        </m:r>
        <m:sSup>
          <m:e>
            <m:r>
              <m:t>x</m:t>
            </m:r>
          </m:e>
          <m:sup>
            <m:r>
              <m:t>T</m:t>
            </m:r>
          </m:sup>
        </m:sSup>
        <m:sSubSup>
          <m:e>
            <m:r>
              <m:t>c</m:t>
            </m:r>
          </m:e>
          <m:sub>
            <m:r>
              <m:t>2</m:t>
            </m:r>
          </m:sub>
          <m:sup>
            <m:d>
              <m:dPr>
                <m:sepChr m:val=""/>
              </m:dPr>
              <m:e>
                <m:r>
                  <m:t>j</m:t>
                </m:r>
              </m:e>
            </m:d>
          </m:sup>
        </m:sSubSup>
      </m:oMath>
      <w:r>
        <w:t xml:space="preserve">，按距离 0 或 </w:t>
      </w:r>
      <m:oMath>
        <m:f>
          <m:fPr>
            <m:type m:val="lin"/>
          </m:fPr>
          <m:num>
            <m:r>
              <m:t>q</m:t>
            </m:r>
          </m:num>
          <m:den>
            <m:r>
              <m:t>2</m:t>
            </m:r>
          </m:den>
        </m:f>
      </m:oMath>
      <w:r>
        <w:t xml:space="preserve"> 恢复比特，再解析并核对明文中加密保存的身份。这解释了当前密文体积和解密对小幅系数修改的容忍性。这里的随机秘密虽然在公开加密算法中生成，其实际取值不能公开或跨消息复用。</w:t>
      </w:r>
    </w:p>
    <w:p>
      <w:r>
        <w:t xml:space="preserve">当前 IBS 使用身份矩阵 </w:t>
      </w:r>
      <m:oMath>
        <m:sSub>
          <m:e>
            <m:r>
              <m:t>F</m:t>
            </m:r>
          </m:e>
          <m:sub>
            <m:r>
              <m:t>id</m:t>
            </m:r>
          </m:sub>
        </m:sSub>
        <m:r>
          <m:t>=[A|</m:t>
        </m:r>
        <m:sSub>
          <m:e>
            <m:r>
              <m:t>H</m:t>
            </m:r>
          </m:e>
          <m:sub>
            <m:r>
              <m:t>1</m:t>
            </m:r>
          </m:sub>
        </m:sSub>
        <m:r>
          <m:t>(id)]</m:t>
        </m:r>
      </m:oMath>
      <w:r>
        <w:t xml:space="preserve">，签名为整数向量 </w:t>
      </w:r>
      <m:oMath>
        <m:r>
          <m:t>z</m:t>
        </m:r>
      </m:oMath>
      <w:r>
        <w:t>，验签检查非零、范数上界和</w:t>
      </w:r>
    </w:p>
    <w:p>
      <w:pPr>
        <w:spacing w:before="60" w:after="140"/>
        <w:jc w:val="center"/>
      </w:pPr>
      <m:oMath>
        <m:sSub>
          <m:e>
            <m:r>
              <m:t>F</m:t>
            </m:r>
          </m:e>
          <m:sub>
            <m:r>
              <m:t>id</m:t>
            </m:r>
          </m:sub>
        </m:sSub>
        <m:r>
          <m:t>z=</m:t>
        </m:r>
        <m:sSub>
          <m:e>
            <m:r>
              <m:t>H</m:t>
            </m:r>
          </m:e>
          <m:sub>
            <m:r>
              <m:t>2</m:t>
            </m:r>
          </m:sub>
        </m:sSub>
        <m:r>
          <m:t>(id,m)</m:t>
        </m:r>
        <m:r>
          <m:t>(</m:t>
        </m:r>
        <m:r>
          <m:rPr>
            <m:sty m:val="p"/>
          </m:rPr>
          <m:t>mod</m:t>
        </m:r>
        <m:r>
          <m:t>q).</m:t>
        </m:r>
      </m:oMath>
    </w:p>
    <w:p>
      <w:r>
        <w:t xml:space="preserve">其用户密钥包含满足 </w:t>
      </w:r>
      <m:oMath>
        <m:r>
          <m:t>A</m:t>
        </m:r>
        <m:sSub>
          <m:e>
            <m:limUpp>
              <m:e>
                <m:r>
                  <m:t>R</m:t>
                </m:r>
              </m:e>
              <m:lim>
                <m:r>
                  <m:t>^</m:t>
                </m:r>
              </m:lim>
            </m:limUpp>
          </m:e>
          <m:sub>
            <m:r>
              <m:t>id</m:t>
            </m:r>
          </m:sub>
        </m:sSub>
        <m:r>
          <m:t>+G=</m:t>
        </m:r>
        <m:sSub>
          <m:e>
            <m:r>
              <m:t>H</m:t>
            </m:r>
          </m:e>
          <m:sub>
            <m:r>
              <m:t>1</m:t>
            </m:r>
          </m:sub>
        </m:sSub>
        <m:r>
          <m:t>(id)</m:t>
        </m:r>
      </m:oMath>
      <w:r>
        <w:t xml:space="preserve"> 的矩阵。当前签名代码先采样 </w:t>
      </w:r>
      <m:oMath>
        <m:r>
          <m:t>x</m:t>
        </m:r>
      </m:oMath>
      <w:r>
        <w:t xml:space="preserve">，对 </w:t>
      </w:r>
      <m:oMath>
        <m:sSub>
          <m:e>
            <m:r>
              <m:t>H</m:t>
            </m:r>
          </m:e>
          <m:sub>
            <m:r>
              <m:t>2</m:t>
            </m:r>
          </m:sub>
        </m:sSub>
        <m:r>
          <m:t>(id,m)−Ax</m:t>
        </m:r>
      </m:oMath>
      <w:r>
        <w:t xml:space="preserve"> 做确定性 gadget 比特分解得到 </w:t>
      </w:r>
      <m:oMath>
        <m:r>
          <m:t>y</m:t>
        </m:r>
      </m:oMath>
      <w:r>
        <w:t xml:space="preserve">，然后输出 </w:t>
      </w:r>
      <m:oMath>
        <m:r>
          <m:t>z=(x−</m:t>
        </m:r>
        <m:sSub>
          <m:e>
            <m:limUpp>
              <m:e>
                <m:r>
                  <m:t>R</m:t>
                </m:r>
              </m:e>
              <m:lim>
                <m:r>
                  <m:t>^</m:t>
                </m:r>
              </m:lim>
            </m:limUpp>
          </m:e>
          <m:sub>
            <m:r>
              <m:t>id</m:t>
            </m:r>
          </m:sub>
        </m:sSub>
        <m:r>
          <m:t>y,y)</m:t>
        </m:r>
      </m:oMath>
      <w:r>
        <w:t>，并重试直到满足范数界。由上述等式可直接验证签名方程，但该求解方式仍需与论文完整余类采样及输出分布对应，不能由代数自检替代这一审查。</w:t>
      </w:r>
    </w:p>
    <w:p>
      <w:r>
        <w:t>方程与验签成功只说明代数约束满足，不说明找出合法短向量是困难的。原语级攻击正是利用了这一点。</w:t>
      </w:r>
    </w:p>
    <w:p>
      <w:pPr>
        <w:pStyle w:val="Heading1"/>
      </w:pPr>
      <w:r>
        <w:t>5 参数与实际运行证据</w:t>
      </w:r>
    </w:p>
    <w:p>
      <w:pPr>
        <w:pStyle w:val="Heading2"/>
      </w:pPr>
      <w:r>
        <w:t>5.1 当前参数属于教学用途</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024"/>
        <w:gridCol w:w="3600"/>
        <w:gridCol w:w="3456"/>
      </w:tblGrid>
      <w:tr>
        <w:trPr>
          <w:cantSplit/>
          <w:tblHeader w:val="true"/>
        </w:trPr>
        <w:tc>
          <w:tcPr>
            <w:tcW w:type="dxa" w:w="3024"/>
            <w:vAlign w:val="center"/>
            <w:tcMar>
              <w:top w:w="85" w:type="dxa"/>
              <w:bottom w:w="85" w:type="dxa"/>
              <w:left w:w="100" w:type="dxa"/>
              <w:right w:w="100" w:type="dxa"/>
            </w:tcMar>
            <w:shd w:fill="17365D"/>
          </w:tcPr>
          <w:p>
            <w:pPr>
              <w:widowControl/>
              <w:spacing w:after="0" w:line="278" w:lineRule="auto"/>
              <w:jc w:val="center"/>
            </w:pPr>
            <w:r>
              <w:rPr>
                <w:b/>
                <w:color w:val="FFFFFF"/>
                <w:sz w:val="20"/>
              </w:rPr>
              <w:t>项目</w:t>
            </w:r>
          </w:p>
        </w:tc>
        <w:tc>
          <w:tcPr>
            <w:tcW w:type="dxa" w:w="3600"/>
            <w:vAlign w:val="center"/>
            <w:tcMar>
              <w:top w:w="85" w:type="dxa"/>
              <w:bottom w:w="85" w:type="dxa"/>
              <w:left w:w="100" w:type="dxa"/>
              <w:right w:w="100" w:type="dxa"/>
            </w:tcMar>
            <w:shd w:fill="17365D"/>
          </w:tcPr>
          <w:p>
            <w:pPr>
              <w:widowControl/>
              <w:spacing w:after="0" w:line="278" w:lineRule="auto"/>
              <w:jc w:val="center"/>
            </w:pPr>
            <w:r>
              <w:rPr>
                <w:b/>
                <w:color w:val="FFFFFF"/>
                <w:sz w:val="20"/>
              </w:rPr>
              <w:t>HIBE 调试参数</w:t>
            </w:r>
          </w:p>
        </w:tc>
        <w:tc>
          <w:tcPr>
            <w:tcW w:type="dxa" w:w="3456"/>
            <w:vAlign w:val="center"/>
            <w:tcMar>
              <w:top w:w="85" w:type="dxa"/>
              <w:bottom w:w="85" w:type="dxa"/>
              <w:left w:w="100" w:type="dxa"/>
              <w:right w:w="100" w:type="dxa"/>
            </w:tcMar>
            <w:shd w:fill="17365D"/>
          </w:tcPr>
          <w:p>
            <w:pPr>
              <w:widowControl/>
              <w:spacing w:after="0" w:line="278" w:lineRule="auto"/>
              <w:jc w:val="center"/>
            </w:pPr>
            <w:r>
              <w:rPr>
                <w:b/>
                <w:color w:val="FFFFFF"/>
                <w:sz w:val="20"/>
              </w:rPr>
              <w:t>IBS 教学参数</w:t>
            </w:r>
          </w:p>
        </w:tc>
      </w:tr>
      <w:tr>
        <w:trPr>
          <w:cantSplit/>
        </w:trPr>
        <w:tc>
          <w:tcPr>
            <w:tcW w:type="dxa" w:w="3024"/>
            <w:vAlign w:val="center"/>
            <w:tcMar>
              <w:top w:w="85" w:type="dxa"/>
              <w:bottom w:w="85" w:type="dxa"/>
              <w:left w:w="100" w:type="dxa"/>
              <w:right w:w="100" w:type="dxa"/>
            </w:tcMar>
            <w:shd w:fill="F2F5F8"/>
          </w:tcPr>
          <w:p>
            <w:pPr>
              <w:widowControl/>
              <w:spacing w:after="0" w:line="278" w:lineRule="auto"/>
            </w:pPr>
            <w:r>
              <w:rPr>
                <w:sz w:val="20"/>
              </w:rPr>
              <w:t xml:space="preserve">矩阵行维度 </w:t>
            </w:r>
            <m:oMath>
              <m:r>
                <m:t>n</m:t>
              </m:r>
            </m:oMath>
          </w:p>
        </w:tc>
        <w:tc>
          <w:tcPr>
            <w:tcW w:type="dxa" w:w="3600"/>
            <w:vAlign w:val="center"/>
            <w:tcMar>
              <w:top w:w="85" w:type="dxa"/>
              <w:bottom w:w="85" w:type="dxa"/>
              <w:left w:w="100" w:type="dxa"/>
              <w:right w:w="100" w:type="dxa"/>
            </w:tcMar>
            <w:shd w:fill="F2F5F8"/>
          </w:tcPr>
          <w:p>
            <w:pPr>
              <w:widowControl/>
              <w:spacing w:after="0" w:line="278" w:lineRule="auto"/>
            </w:pPr>
            <w:r>
              <w:rPr>
                <w:sz w:val="20"/>
              </w:rPr>
              <w:t>8</w:t>
            </w:r>
          </w:p>
        </w:tc>
        <w:tc>
          <w:tcPr>
            <w:tcW w:type="dxa" w:w="3456"/>
            <w:vAlign w:val="center"/>
            <w:tcMar>
              <w:top w:w="85" w:type="dxa"/>
              <w:bottom w:w="85" w:type="dxa"/>
              <w:left w:w="100" w:type="dxa"/>
              <w:right w:w="100" w:type="dxa"/>
            </w:tcMar>
            <w:shd w:fill="F2F5F8"/>
          </w:tcPr>
          <w:p>
            <w:pPr>
              <w:widowControl/>
              <w:spacing w:after="0" w:line="278" w:lineRule="auto"/>
            </w:pPr>
            <w:r>
              <w:rPr>
                <w:sz w:val="20"/>
              </w:rPr>
              <w:t>8</w:t>
            </w:r>
          </w:p>
        </w:tc>
      </w:tr>
      <w:tr>
        <w:trPr>
          <w:cantSplit/>
        </w:trPr>
        <w:tc>
          <w:tcPr>
            <w:tcW w:type="dxa" w:w="3024"/>
            <w:vAlign w:val="center"/>
            <w:tcMar>
              <w:top w:w="85" w:type="dxa"/>
              <w:bottom w:w="85" w:type="dxa"/>
              <w:left w:w="100" w:type="dxa"/>
              <w:right w:w="100" w:type="dxa"/>
            </w:tcMar>
            <w:shd w:fill="FFFFFF"/>
          </w:tcPr>
          <w:p>
            <w:pPr>
              <w:widowControl/>
              <w:spacing w:after="0" w:line="278" w:lineRule="auto"/>
            </w:pPr>
            <w:r>
              <w:rPr>
                <w:sz w:val="20"/>
              </w:rPr>
              <w:t xml:space="preserve">基础公矩阵列数 </w:t>
            </w:r>
            <m:oMath>
              <m:r>
                <m:t>m</m:t>
              </m:r>
            </m:oMath>
          </w:p>
        </w:tc>
        <w:tc>
          <w:tcPr>
            <w:tcW w:type="dxa" w:w="3600"/>
            <w:vAlign w:val="center"/>
            <w:tcMar>
              <w:top w:w="85" w:type="dxa"/>
              <w:bottom w:w="85" w:type="dxa"/>
              <w:left w:w="100" w:type="dxa"/>
              <w:right w:w="100" w:type="dxa"/>
            </w:tcMar>
            <w:shd w:fill="FFFFFF"/>
          </w:tcPr>
          <w:p>
            <w:pPr>
              <w:widowControl/>
              <w:spacing w:after="0" w:line="278" w:lineRule="auto"/>
            </w:pPr>
            <w:r>
              <w:rPr>
                <w:sz w:val="20"/>
              </w:rPr>
              <w:t>168</w:t>
            </w:r>
          </w:p>
        </w:tc>
        <w:tc>
          <w:tcPr>
            <w:tcW w:type="dxa" w:w="3456"/>
            <w:vAlign w:val="center"/>
            <w:tcMar>
              <w:top w:w="85" w:type="dxa"/>
              <w:bottom w:w="85" w:type="dxa"/>
              <w:left w:w="100" w:type="dxa"/>
              <w:right w:w="100" w:type="dxa"/>
            </w:tcMar>
            <w:shd w:fill="FFFFFF"/>
          </w:tcPr>
          <w:p>
            <w:pPr>
              <w:widowControl/>
              <w:spacing w:after="0" w:line="278" w:lineRule="auto"/>
            </w:pPr>
            <w:r>
              <w:rPr>
                <w:sz w:val="20"/>
              </w:rPr>
              <w:t>80</w:t>
            </w:r>
          </w:p>
        </w:tc>
      </w:tr>
      <w:tr>
        <w:trPr>
          <w:cantSplit/>
        </w:trPr>
        <w:tc>
          <w:tcPr>
            <w:tcW w:type="dxa" w:w="3024"/>
            <w:vAlign w:val="center"/>
            <w:tcMar>
              <w:top w:w="85" w:type="dxa"/>
              <w:bottom w:w="85" w:type="dxa"/>
              <w:left w:w="100" w:type="dxa"/>
              <w:right w:w="100" w:type="dxa"/>
            </w:tcMar>
            <w:shd w:fill="F2F5F8"/>
          </w:tcPr>
          <w:p>
            <w:pPr>
              <w:widowControl/>
              <w:spacing w:after="0" w:line="278" w:lineRule="auto"/>
            </w:pPr>
            <w:r>
              <w:rPr>
                <w:sz w:val="20"/>
              </w:rPr>
              <w:t xml:space="preserve">模数 </w:t>
            </w:r>
            <m:oMath>
              <m:r>
                <m:t>q</m:t>
              </m:r>
            </m:oMath>
          </w:p>
        </w:tc>
        <w:tc>
          <w:tcPr>
            <w:tcW w:type="dxa" w:w="3600"/>
            <w:vAlign w:val="center"/>
            <w:tcMar>
              <w:top w:w="85" w:type="dxa"/>
              <w:bottom w:w="85" w:type="dxa"/>
              <w:left w:w="100" w:type="dxa"/>
              <w:right w:w="100" w:type="dxa"/>
            </w:tcMar>
            <w:shd w:fill="F2F5F8"/>
          </w:tcPr>
          <w:p>
            <w:pPr>
              <w:widowControl/>
              <w:spacing w:after="0" w:line="278" w:lineRule="auto"/>
            </w:pPr>
            <w:r>
              <w:rPr>
                <w:sz w:val="20"/>
              </w:rPr>
              <w:t xml:space="preserve">524288 即 </w:t>
            </w:r>
            <m:oMath>
              <m:sSup>
                <m:e>
                  <m:r>
                    <m:t>2</m:t>
                  </m:r>
                </m:e>
                <m:sup>
                  <m:r>
                    <m:t>19</m:t>
                  </m:r>
                </m:sup>
              </m:sSup>
            </m:oMath>
          </w:p>
        </w:tc>
        <w:tc>
          <w:tcPr>
            <w:tcW w:type="dxa" w:w="3456"/>
            <w:vAlign w:val="center"/>
            <w:tcMar>
              <w:top w:w="85" w:type="dxa"/>
              <w:bottom w:w="85" w:type="dxa"/>
              <w:left w:w="100" w:type="dxa"/>
              <w:right w:w="100" w:type="dxa"/>
            </w:tcMar>
            <w:shd w:fill="F2F5F8"/>
          </w:tcPr>
          <w:p>
            <w:pPr>
              <w:widowControl/>
              <w:spacing w:after="0" w:line="278" w:lineRule="auto"/>
            </w:pPr>
            <w:r>
              <w:rPr>
                <w:sz w:val="20"/>
              </w:rPr>
              <w:t>257</w:t>
            </w:r>
          </w:p>
        </w:tc>
      </w:tr>
      <w:tr>
        <w:trPr>
          <w:cantSplit/>
        </w:trPr>
        <w:tc>
          <w:tcPr>
            <w:tcW w:type="dxa" w:w="3024"/>
            <w:vAlign w:val="center"/>
            <w:tcMar>
              <w:top w:w="85" w:type="dxa"/>
              <w:bottom w:w="85" w:type="dxa"/>
              <w:left w:w="100" w:type="dxa"/>
              <w:right w:w="100" w:type="dxa"/>
            </w:tcMar>
            <w:shd w:fill="FFFFFF"/>
          </w:tcPr>
          <w:p>
            <w:pPr>
              <w:widowControl/>
              <w:spacing w:after="0" w:line="278" w:lineRule="auto"/>
            </w:pPr>
            <w:r>
              <w:rPr>
                <w:sz w:val="20"/>
              </w:rPr>
              <w:t>gadget 位数与列数</w:t>
            </w:r>
          </w:p>
        </w:tc>
        <w:tc>
          <w:tcPr>
            <w:tcW w:type="dxa" w:w="3600"/>
            <w:vAlign w:val="center"/>
            <w:tcMar>
              <w:top w:w="85" w:type="dxa"/>
              <w:bottom w:w="85" w:type="dxa"/>
              <w:left w:w="100" w:type="dxa"/>
              <w:right w:w="100" w:type="dxa"/>
            </w:tcMar>
            <w:shd w:fill="FFFFFF"/>
          </w:tcPr>
          <w:p>
            <w:pPr>
              <w:widowControl/>
              <w:spacing w:after="0" w:line="278" w:lineRule="auto"/>
            </w:pPr>
            <w:r>
              <w:rPr>
                <w:sz w:val="20"/>
              </w:rPr>
              <w:t>19 与 152</w:t>
            </w:r>
          </w:p>
        </w:tc>
        <w:tc>
          <w:tcPr>
            <w:tcW w:type="dxa" w:w="3456"/>
            <w:vAlign w:val="center"/>
            <w:tcMar>
              <w:top w:w="85" w:type="dxa"/>
              <w:bottom w:w="85" w:type="dxa"/>
              <w:left w:w="100" w:type="dxa"/>
              <w:right w:w="100" w:type="dxa"/>
            </w:tcMar>
            <w:shd w:fill="FFFFFF"/>
          </w:tcPr>
          <w:p>
            <w:pPr>
              <w:widowControl/>
              <w:spacing w:after="0" w:line="278" w:lineRule="auto"/>
            </w:pPr>
            <w:r>
              <w:rPr>
                <w:sz w:val="20"/>
              </w:rPr>
              <w:t>9 与 72</w:t>
            </w:r>
          </w:p>
        </w:tc>
      </w:tr>
      <w:tr>
        <w:trPr>
          <w:cantSplit/>
        </w:trPr>
        <w:tc>
          <w:tcPr>
            <w:tcW w:type="dxa" w:w="3024"/>
            <w:vAlign w:val="center"/>
            <w:tcMar>
              <w:top w:w="85" w:type="dxa"/>
              <w:bottom w:w="85" w:type="dxa"/>
              <w:left w:w="100" w:type="dxa"/>
              <w:right w:w="100" w:type="dxa"/>
            </w:tcMar>
            <w:shd w:fill="F2F5F8"/>
          </w:tcPr>
          <w:p>
            <w:pPr>
              <w:widowControl/>
              <w:spacing w:after="0" w:line="278" w:lineRule="auto"/>
            </w:pPr>
            <w:r>
              <w:rPr>
                <w:sz w:val="20"/>
              </w:rPr>
              <w:t>代码采样参数</w:t>
            </w:r>
          </w:p>
        </w:tc>
        <w:tc>
          <w:tcPr>
            <w:tcW w:type="dxa" w:w="3600"/>
            <w:vAlign w:val="center"/>
            <w:tcMar>
              <w:top w:w="85" w:type="dxa"/>
              <w:bottom w:w="85" w:type="dxa"/>
              <w:left w:w="100" w:type="dxa"/>
              <w:right w:w="100" w:type="dxa"/>
            </w:tcMar>
            <w:shd w:fill="F2F5F8"/>
          </w:tcPr>
          <w:p>
            <w:pPr>
              <w:widowControl/>
              <w:spacing w:after="0" w:line="278" w:lineRule="auto"/>
            </w:pPr>
            <m:oMath>
              <m:sSub>
                <m:e>
                  <m:r>
                    <m:t>s</m:t>
                  </m:r>
                </m:e>
                <m:sub>
                  <m:r>
                    <m:t>0</m:t>
                  </m:r>
                </m:sub>
              </m:sSub>
              <m:r>
                <m:t>=3,s=1,</m:t>
              </m:r>
              <m:sSup>
                <m:e>
                  <m:r>
                    <m:t>s</m:t>
                  </m:r>
                </m:e>
                <m:sup>
                  <m:r>
                    <m:t>′</m:t>
                  </m:r>
                </m:sup>
              </m:sSup>
              <m:r>
                <m:t>=1</m:t>
              </m:r>
            </m:oMath>
          </w:p>
        </w:tc>
        <w:tc>
          <w:tcPr>
            <w:tcW w:type="dxa" w:w="3456"/>
            <w:vAlign w:val="center"/>
            <w:tcMar>
              <w:top w:w="85" w:type="dxa"/>
              <w:bottom w:w="85" w:type="dxa"/>
              <w:left w:w="100" w:type="dxa"/>
              <w:right w:w="100" w:type="dxa"/>
            </w:tcMar>
            <w:shd w:fill="F2F5F8"/>
          </w:tcPr>
          <w:p>
            <w:pPr>
              <w:widowControl/>
              <w:spacing w:after="0" w:line="278" w:lineRule="auto"/>
            </w:pPr>
            <m:oMath>
              <m:sSub>
                <m:e>
                  <m:r>
                    <m:t>s</m:t>
                  </m:r>
                </m:e>
                <m:sub>
                  <m:r>
                    <m:t>0</m:t>
                  </m:r>
                </m:sub>
              </m:sSub>
              <m:r>
                <m:t>=4,s=10,</m:t>
              </m:r>
              <m:sSup>
                <m:e>
                  <m:r>
                    <m:t>s</m:t>
                  </m:r>
                </m:e>
                <m:sup>
                  <m:r>
                    <m:t>′</m:t>
                  </m:r>
                </m:sup>
              </m:sSup>
              <m:r>
                <m:t>=64</m:t>
              </m:r>
            </m:oMath>
          </w:p>
        </w:tc>
      </w:tr>
      <w:tr>
        <w:trPr>
          <w:cantSplit/>
        </w:trPr>
        <w:tc>
          <w:tcPr>
            <w:tcW w:type="dxa" w:w="3024"/>
            <w:vAlign w:val="center"/>
            <w:tcMar>
              <w:top w:w="85" w:type="dxa"/>
              <w:bottom w:w="85" w:type="dxa"/>
              <w:left w:w="100" w:type="dxa"/>
              <w:right w:w="100" w:type="dxa"/>
            </w:tcMar>
            <w:shd w:fill="FFFFFF"/>
          </w:tcPr>
          <w:p>
            <w:pPr>
              <w:widowControl/>
              <w:spacing w:after="0" w:line="278" w:lineRule="auto"/>
            </w:pPr>
            <w:r>
              <w:rPr>
                <w:sz w:val="20"/>
              </w:rPr>
              <w:t>身份长度配置</w:t>
            </w:r>
          </w:p>
        </w:tc>
        <w:tc>
          <w:tcPr>
            <w:tcW w:type="dxa" w:w="3600"/>
            <w:vAlign w:val="center"/>
            <w:tcMar>
              <w:top w:w="85" w:type="dxa"/>
              <w:bottom w:w="85" w:type="dxa"/>
              <w:left w:w="100" w:type="dxa"/>
              <w:right w:w="100" w:type="dxa"/>
            </w:tcMar>
            <w:shd w:fill="FFFFFF"/>
          </w:tcPr>
          <w:p>
            <w:pPr>
              <w:widowControl/>
              <w:spacing w:after="0" w:line="278" w:lineRule="auto"/>
            </w:pPr>
            <w:r>
              <w:rPr>
                <w:sz w:val="20"/>
              </w:rPr>
              <w:t>最多 32 字节</w:t>
            </w:r>
          </w:p>
        </w:tc>
        <w:tc>
          <w:tcPr>
            <w:tcW w:type="dxa" w:w="3456"/>
            <w:vAlign w:val="center"/>
            <w:tcMar>
              <w:top w:w="85" w:type="dxa"/>
              <w:bottom w:w="85" w:type="dxa"/>
              <w:left w:w="100" w:type="dxa"/>
              <w:right w:w="100" w:type="dxa"/>
            </w:tcMar>
            <w:shd w:fill="FFFFFF"/>
          </w:tcPr>
          <w:p>
            <w:pPr>
              <w:widowControl/>
              <w:spacing w:after="0" w:line="278" w:lineRule="auto"/>
            </w:pPr>
            <w:r>
              <w:rPr>
                <w:sz w:val="20"/>
              </w:rPr>
              <w:t>原语样例配置 8 字节</w:t>
            </w:r>
          </w:p>
        </w:tc>
      </w:tr>
      <w:tr>
        <w:trPr>
          <w:cantSplit/>
        </w:trPr>
        <w:tc>
          <w:tcPr>
            <w:tcW w:type="dxa" w:w="3024"/>
            <w:vAlign w:val="center"/>
            <w:tcMar>
              <w:top w:w="85" w:type="dxa"/>
              <w:bottom w:w="85" w:type="dxa"/>
              <w:left w:w="100" w:type="dxa"/>
              <w:right w:w="100" w:type="dxa"/>
            </w:tcMar>
            <w:shd w:fill="F2F5F8"/>
          </w:tcPr>
          <w:p>
            <w:pPr>
              <w:widowControl/>
              <w:spacing w:after="0" w:line="278" w:lineRule="auto"/>
            </w:pPr>
            <w:r>
              <w:rPr>
                <w:sz w:val="20"/>
              </w:rPr>
              <w:t>载荷配置</w:t>
            </w:r>
          </w:p>
        </w:tc>
        <w:tc>
          <w:tcPr>
            <w:tcW w:type="dxa" w:w="3600"/>
            <w:vAlign w:val="center"/>
            <w:tcMar>
              <w:top w:w="85" w:type="dxa"/>
              <w:bottom w:w="85" w:type="dxa"/>
              <w:left w:w="100" w:type="dxa"/>
              <w:right w:w="100" w:type="dxa"/>
            </w:tcMar>
            <w:shd w:fill="F2F5F8"/>
          </w:tcPr>
          <w:p>
            <w:pPr>
              <w:widowControl/>
              <w:spacing w:after="0" w:line="278" w:lineRule="auto"/>
            </w:pPr>
            <w:r>
              <w:rPr>
                <w:sz w:val="20"/>
              </w:rPr>
              <w:t>HIBE 输入载荷最多 400 字节</w:t>
            </w:r>
          </w:p>
        </w:tc>
        <w:tc>
          <w:tcPr>
            <w:tcW w:type="dxa" w:w="3456"/>
            <w:vAlign w:val="center"/>
            <w:tcMar>
              <w:top w:w="85" w:type="dxa"/>
              <w:bottom w:w="85" w:type="dxa"/>
              <w:left w:w="100" w:type="dxa"/>
              <w:right w:w="100" w:type="dxa"/>
            </w:tcMar>
            <w:shd w:fill="F2F5F8"/>
          </w:tcPr>
          <w:p>
            <w:pPr>
              <w:widowControl/>
              <w:spacing w:after="0" w:line="278" w:lineRule="auto"/>
            </w:pPr>
            <w:r>
              <w:rPr>
                <w:sz w:val="20"/>
              </w:rPr>
              <w:t>样例消息配置 32 字节</w:t>
            </w:r>
          </w:p>
        </w:tc>
      </w:tr>
      <w:tr>
        <w:trPr>
          <w:cantSplit/>
        </w:trPr>
        <w:tc>
          <w:tcPr>
            <w:tcW w:type="dxa" w:w="3024"/>
            <w:vAlign w:val="center"/>
            <w:tcMar>
              <w:top w:w="85" w:type="dxa"/>
              <w:bottom w:w="85" w:type="dxa"/>
              <w:left w:w="100" w:type="dxa"/>
              <w:right w:w="100" w:type="dxa"/>
            </w:tcMar>
            <w:shd w:fill="FFFFFF"/>
          </w:tcPr>
          <w:p>
            <w:pPr>
              <w:widowControl/>
              <w:spacing w:after="0" w:line="278" w:lineRule="auto"/>
            </w:pPr>
            <w:r>
              <w:rPr>
                <w:sz w:val="20"/>
              </w:rPr>
              <w:t>安全等级</w:t>
            </w:r>
          </w:p>
        </w:tc>
        <w:tc>
          <w:tcPr>
            <w:tcW w:type="dxa" w:w="3600"/>
            <w:vAlign w:val="center"/>
            <w:tcMar>
              <w:top w:w="85" w:type="dxa"/>
              <w:bottom w:w="85" w:type="dxa"/>
              <w:left w:w="100" w:type="dxa"/>
              <w:right w:w="100" w:type="dxa"/>
            </w:tcMar>
            <w:shd w:fill="FFFFFF"/>
          </w:tcPr>
          <w:p>
            <w:pPr>
              <w:widowControl/>
              <w:spacing w:after="0" w:line="278" w:lineRule="auto"/>
            </w:pPr>
            <w:r>
              <w:rPr>
                <w:sz w:val="20"/>
              </w:rPr>
              <w:t>无</w:t>
            </w:r>
          </w:p>
        </w:tc>
        <w:tc>
          <w:tcPr>
            <w:tcW w:type="dxa" w:w="3456"/>
            <w:vAlign w:val="center"/>
            <w:tcMar>
              <w:top w:w="85" w:type="dxa"/>
              <w:bottom w:w="85" w:type="dxa"/>
              <w:left w:w="100" w:type="dxa"/>
              <w:right w:w="100" w:type="dxa"/>
            </w:tcMar>
            <w:shd w:fill="FFFFFF"/>
          </w:tcPr>
          <w:p>
            <w:pPr>
              <w:widowControl/>
              <w:spacing w:after="0" w:line="278" w:lineRule="auto"/>
            </w:pPr>
            <w:r>
              <w:rPr>
                <w:sz w:val="20"/>
              </w:rPr>
              <w:t>无</w:t>
            </w:r>
          </w:p>
        </w:tc>
      </w:tr>
    </w:tbl>
    <w:p>
      <w:pPr>
        <w:spacing w:after="60" w:before="0" w:line="120" w:lineRule="auto"/>
      </w:pPr>
      <w:r>
        <w:rPr>
          <w:sz w:val="4"/>
        </w:rPr>
      </w:r>
    </w:p>
    <w:p>
      <w:r>
        <w:t>这里的 HIBE 400 字节是协议送给 HIBE 的载荷上限，包含 IBS 签名和封装开销，不能写成可加密 400 字节用户消息。历史样例签名为 322 字节，再加协议封装 19 字节后，只剩约 59 字节用户消息空间；签名编码宽度改变时余量也会变化。HIBE 自身还会封装身份等内容，影响最终密文尺寸。</w:t>
      </w:r>
    </w:p>
    <w:p>
      <w:r>
        <w:t xml:space="preserve">身份和消息长度约束不能只看 </w:t>
      </w:r>
      <w:r>
        <w:rPr>
          <w:rFonts w:ascii="Consolas" w:hAnsi="Consolas"/>
          <w:sz w:val="19"/>
        </w:rPr>
        <w:t>Params</w:t>
      </w:r>
      <w:r>
        <w:t xml:space="preserve"> 字段：应核对具体接口是否实施该约束，以及协议层与原语层是否一致。新实现应明确区分用户消息、签名输入、加密载荷和完整文件大小。</w:t>
      </w:r>
    </w:p>
    <w:p>
      <w:pPr>
        <w:pStyle w:val="Heading2"/>
      </w:pPr>
      <w:r>
        <w:t>5.2 本次测试与攻击复现</w:t>
      </w:r>
    </w:p>
    <w:p>
      <w:r>
        <w:t xml:space="preserve">本次对上述代码基点运行 </w:t>
      </w:r>
      <w:r>
        <w:rPr>
          <w:rFonts w:ascii="Consolas" w:hAnsi="Consolas"/>
          <w:sz w:val="19"/>
        </w:rPr>
        <w:t>python -m pytest -q</w:t>
      </w:r>
      <w:r>
        <w:t xml:space="preserve">，结果是 </w:t>
      </w:r>
      <w:r>
        <w:rPr>
          <w:b/>
        </w:rPr>
        <w:t>333 passed, 10 skipped in 537.92s</w:t>
      </w:r>
      <w:r>
        <w:t>。这证明既有测试在本机运行成功。它不证明 LWE 或 SIS 困难性，不证明匿名性，也不证明全体篡改输入都会被拒绝。测试时另有自查实验并行运行，因此本次测试时长不作为干净环境下的性能基准。</w:t>
      </w:r>
    </w:p>
    <w:p>
      <w:r>
        <w:t xml:space="preserve">运行 </w:t>
      </w:r>
      <w:r>
        <w:rPr>
          <w:rFonts w:ascii="Consolas" w:hAnsi="Consolas"/>
          <w:sz w:val="19"/>
        </w:rPr>
        <w:t>python experiments/attacks/forge_ibs.py</w:t>
      </w:r>
      <w:r>
        <w:t>，原语级结果为：未提取 Alice 密钥的情况下，伪造签名范数约 185.81，验签界约 789.04，</w:t>
      </w:r>
      <w:r>
        <w:rPr>
          <w:rFonts w:ascii="Consolas" w:hAnsi="Consolas"/>
          <w:sz w:val="19"/>
        </w:rPr>
        <w:t>verify</w:t>
      </w:r>
      <w:r>
        <w:t xml:space="preserve"> 返回真。协议级使用公开加密算法封装伪造签名后，接收方恢复了“AUTHORIZED BY ALICE: release the funds”，并将其归因于 Alice。脚本有两种层次，各运行一次；这是针对本仓库教学实现的攻击，不是对论文有效参数构造的破解。</w:t>
      </w:r>
    </w:p>
    <w:p>
      <w:r>
        <w:t xml:space="preserve">第二项实验采用发送者 </w:t>
      </w:r>
      <w:r>
        <w:rPr>
          <w:rFonts w:ascii="Consolas" w:hAnsi="Consolas"/>
          <w:sz w:val="19"/>
        </w:rPr>
        <w:t>Alice</w:t>
      </w:r>
      <w:r>
        <w:t xml:space="preserve">、接收者 </w:t>
      </w:r>
      <w:r>
        <w:rPr>
          <w:rFonts w:ascii="Consolas" w:hAnsi="Consolas"/>
          <w:sz w:val="19"/>
        </w:rPr>
        <w:t>Bob</w:t>
      </w:r>
      <w:r>
        <w:t xml:space="preserve">、消息 </w:t>
      </w:r>
      <w:r>
        <w:rPr>
          <w:rFonts w:ascii="Consolas" w:hAnsi="Consolas"/>
          <w:sz w:val="19"/>
        </w:rPr>
        <w:t>A</w:t>
      </w:r>
      <w:r>
        <w:t xml:space="preserve">，分别为 5、3、1 字节。使用教学参数和固定测试种子 </w:t>
      </w:r>
      <w:r>
        <w:rPr>
          <w:rFonts w:ascii="Consolas" w:hAnsi="Consolas"/>
          <w:sz w:val="19"/>
        </w:rPr>
        <w:t>review-2026-10-03</w:t>
      </w:r>
      <w:r>
        <w:t xml:space="preserve">，对同一密文最后一个 </w:t>
      </w:r>
      <w:r>
        <w:rPr>
          <w:rFonts w:ascii="Consolas" w:hAnsi="Consolas"/>
          <w:sz w:val="19"/>
        </w:rPr>
        <w:t>c1</w:t>
      </w:r>
      <w:r>
        <w:t xml:space="preserve"> 系数加一，从 7276 改为 7277。密文为 4,109,477 字节，其中仅一个字节不同。原始密文和修改后的密文均恢复 </w:t>
      </w:r>
      <w:r>
        <w:rPr>
          <w:rFonts w:ascii="Consolas" w:hAnsi="Consolas"/>
          <w:sz w:val="19"/>
        </w:rPr>
        <w:t>A</w:t>
      </w:r>
      <w:r>
        <w:t>；二者使用相同解码随机流，排除了随机派生差异的影响。这是一个明确反例，样本数为一，不能推断所有篡改都会成功。</w:t>
      </w:r>
    </w:p>
    <w:p>
      <w:pPr>
        <w:pStyle w:val="Heading2"/>
      </w:pPr>
      <w:r>
        <w:t>5.3 历史性能结果及其边界</w:t>
      </w:r>
    </w:p>
    <w:p>
      <w:r>
        <w:t xml:space="preserve">仓库 </w:t>
      </w:r>
      <w:r>
        <w:rPr>
          <w:rFonts w:ascii="Consolas" w:hAnsi="Consolas"/>
          <w:sz w:val="19"/>
        </w:rPr>
        <w:t>experiments/results/baseline-benchmark.json</w:t>
      </w:r>
      <w:r>
        <w:t xml:space="preserve"> 记录了 2026 年 9 月 9 日的基准。发送者身份 15 字节，接收者身份 17 字节，用户消息 32 字节；使用上述教学参数、固定实验随机源、Windows 11 和 CPython 3.14.6。以下是原始记录中的中位数，本次没有重新运行该完整基准。</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5184"/>
        <w:gridCol w:w="2736"/>
        <w:gridCol w:w="2160"/>
      </w:tblGrid>
      <w:tr>
        <w:trPr>
          <w:cantSplit/>
          <w:tblHeader w:val="true"/>
        </w:trPr>
        <w:tc>
          <w:tcPr>
            <w:tcW w:type="dxa" w:w="5184"/>
            <w:vAlign w:val="center"/>
            <w:tcMar>
              <w:top w:w="65" w:type="dxa"/>
              <w:bottom w:w="65" w:type="dxa"/>
              <w:left w:w="100" w:type="dxa"/>
              <w:right w:w="100" w:type="dxa"/>
            </w:tcMar>
            <w:shd w:fill="17365D"/>
          </w:tcPr>
          <w:p>
            <w:pPr>
              <w:widowControl/>
              <w:spacing w:after="0" w:line="278" w:lineRule="auto"/>
              <w:jc w:val="center"/>
            </w:pPr>
            <w:r>
              <w:rPr>
                <w:b/>
                <w:color w:val="FFFFFF"/>
                <w:sz w:val="20"/>
              </w:rPr>
              <w:t>操作</w:t>
            </w:r>
          </w:p>
        </w:tc>
        <w:tc>
          <w:tcPr>
            <w:tcW w:type="dxa" w:w="2736"/>
            <w:vAlign w:val="center"/>
            <w:tcMar>
              <w:top w:w="65" w:type="dxa"/>
              <w:bottom w:w="65" w:type="dxa"/>
              <w:left w:w="100" w:type="dxa"/>
              <w:right w:w="100" w:type="dxa"/>
            </w:tcMar>
            <w:shd w:fill="17365D"/>
          </w:tcPr>
          <w:p>
            <w:pPr>
              <w:widowControl/>
              <w:spacing w:after="0" w:line="278" w:lineRule="auto"/>
              <w:jc w:val="center"/>
            </w:pPr>
            <w:r>
              <w:rPr>
                <w:b/>
                <w:color w:val="FFFFFF"/>
                <w:sz w:val="20"/>
              </w:rPr>
              <w:t>中位时间 秒</w:t>
            </w:r>
          </w:p>
        </w:tc>
        <w:tc>
          <w:tcPr>
            <w:tcW w:type="dxa" w:w="2160"/>
            <w:vAlign w:val="center"/>
            <w:tcMar>
              <w:top w:w="65" w:type="dxa"/>
              <w:bottom w:w="65" w:type="dxa"/>
              <w:left w:w="100" w:type="dxa"/>
              <w:right w:w="100" w:type="dxa"/>
            </w:tcMar>
            <w:shd w:fill="17365D"/>
          </w:tcPr>
          <w:p>
            <w:pPr>
              <w:widowControl/>
              <w:spacing w:after="0" w:line="278" w:lineRule="auto"/>
              <w:jc w:val="center"/>
            </w:pPr>
            <w:r>
              <w:rPr>
                <w:b/>
                <w:color w:val="FFFFFF"/>
                <w:sz w:val="20"/>
              </w:rPr>
              <w:t>历史重复次数</w:t>
            </w:r>
          </w:p>
        </w:tc>
      </w:tr>
      <w:tr>
        <w:trPr>
          <w:cantSplit/>
        </w:trPr>
        <w:tc>
          <w:tcPr>
            <w:tcW w:type="dxa" w:w="5184"/>
            <w:vAlign w:val="center"/>
            <w:tcMar>
              <w:top w:w="65" w:type="dxa"/>
              <w:bottom w:w="65" w:type="dxa"/>
              <w:left w:w="100" w:type="dxa"/>
              <w:right w:w="100" w:type="dxa"/>
            </w:tcMar>
            <w:shd w:fill="F2F5F8"/>
          </w:tcPr>
          <w:p>
            <w:pPr>
              <w:widowControl/>
              <w:spacing w:after="0" w:line="278" w:lineRule="auto"/>
              <w:jc w:val="center"/>
            </w:pPr>
            <w:r>
              <w:rPr>
                <w:sz w:val="20"/>
              </w:rPr>
              <w:t>Setup</w:t>
            </w:r>
          </w:p>
        </w:tc>
        <w:tc>
          <w:tcPr>
            <w:tcW w:type="dxa" w:w="2736"/>
            <w:vAlign w:val="center"/>
            <w:tcMar>
              <w:top w:w="65" w:type="dxa"/>
              <w:bottom w:w="65" w:type="dxa"/>
              <w:left w:w="100" w:type="dxa"/>
              <w:right w:w="100" w:type="dxa"/>
            </w:tcMar>
            <w:shd w:fill="F2F5F8"/>
          </w:tcPr>
          <w:p>
            <w:pPr>
              <w:widowControl/>
              <w:spacing w:after="0" w:line="278" w:lineRule="auto"/>
              <w:jc w:val="center"/>
            </w:pPr>
            <w:r>
              <w:rPr>
                <w:sz w:val="20"/>
              </w:rPr>
              <w:t>0.090019</w:t>
            </w:r>
          </w:p>
        </w:tc>
        <w:tc>
          <w:tcPr>
            <w:tcW w:type="dxa" w:w="2160"/>
            <w:vAlign w:val="center"/>
            <w:tcMar>
              <w:top w:w="65" w:type="dxa"/>
              <w:bottom w:w="65" w:type="dxa"/>
              <w:left w:w="100" w:type="dxa"/>
              <w:right w:w="100" w:type="dxa"/>
            </w:tcMar>
            <w:shd w:fill="F2F5F8"/>
          </w:tcPr>
          <w:p>
            <w:pPr>
              <w:widowControl/>
              <w:spacing w:after="0" w:line="278" w:lineRule="auto"/>
              <w:jc w:val="center"/>
            </w:pPr>
            <w:r>
              <w:rPr>
                <w:sz w:val="20"/>
              </w:rPr>
              <w:t>10</w:t>
            </w:r>
          </w:p>
        </w:tc>
      </w:tr>
      <w:tr>
        <w:trPr>
          <w:cantSplit/>
        </w:trPr>
        <w:tc>
          <w:tcPr>
            <w:tcW w:type="dxa" w:w="5184"/>
            <w:vAlign w:val="center"/>
            <w:tcMar>
              <w:top w:w="65" w:type="dxa"/>
              <w:bottom w:w="65" w:type="dxa"/>
              <w:left w:w="100" w:type="dxa"/>
              <w:right w:w="100" w:type="dxa"/>
            </w:tcMar>
            <w:shd w:fill="FFFFFF"/>
          </w:tcPr>
          <w:p>
            <w:pPr>
              <w:widowControl/>
              <w:spacing w:after="0" w:line="278" w:lineRule="auto"/>
              <w:jc w:val="center"/>
            </w:pPr>
            <w:r>
              <w:rPr>
                <w:sz w:val="20"/>
              </w:rPr>
              <w:t>发送者密钥生成</w:t>
            </w:r>
          </w:p>
        </w:tc>
        <w:tc>
          <w:tcPr>
            <w:tcW w:type="dxa" w:w="2736"/>
            <w:vAlign w:val="center"/>
            <w:tcMar>
              <w:top w:w="65" w:type="dxa"/>
              <w:bottom w:w="65" w:type="dxa"/>
              <w:left w:w="100" w:type="dxa"/>
              <w:right w:w="100" w:type="dxa"/>
            </w:tcMar>
            <w:shd w:fill="FFFFFF"/>
          </w:tcPr>
          <w:p>
            <w:pPr>
              <w:widowControl/>
              <w:spacing w:after="0" w:line="278" w:lineRule="auto"/>
              <w:jc w:val="center"/>
            </w:pPr>
            <w:r>
              <w:rPr>
                <w:sz w:val="20"/>
              </w:rPr>
              <w:t>0.155261</w:t>
            </w:r>
          </w:p>
        </w:tc>
        <w:tc>
          <w:tcPr>
            <w:tcW w:type="dxa" w:w="2160"/>
            <w:vAlign w:val="center"/>
            <w:tcMar>
              <w:top w:w="65" w:type="dxa"/>
              <w:bottom w:w="65" w:type="dxa"/>
              <w:left w:w="100" w:type="dxa"/>
              <w:right w:w="100" w:type="dxa"/>
            </w:tcMar>
            <w:shd w:fill="FFFFFF"/>
          </w:tcPr>
          <w:p>
            <w:pPr>
              <w:widowControl/>
              <w:spacing w:after="0" w:line="278" w:lineRule="auto"/>
              <w:jc w:val="center"/>
            </w:pPr>
            <w:r>
              <w:rPr>
                <w:sz w:val="20"/>
              </w:rPr>
              <w:t>30</w:t>
            </w:r>
          </w:p>
        </w:tc>
      </w:tr>
      <w:tr>
        <w:trPr>
          <w:cantSplit/>
        </w:trPr>
        <w:tc>
          <w:tcPr>
            <w:tcW w:type="dxa" w:w="5184"/>
            <w:vAlign w:val="center"/>
            <w:tcMar>
              <w:top w:w="65" w:type="dxa"/>
              <w:bottom w:w="65" w:type="dxa"/>
              <w:left w:w="100" w:type="dxa"/>
              <w:right w:w="100" w:type="dxa"/>
            </w:tcMar>
            <w:shd w:fill="F2F5F8"/>
          </w:tcPr>
          <w:p>
            <w:pPr>
              <w:widowControl/>
              <w:spacing w:after="0" w:line="278" w:lineRule="auto"/>
              <w:jc w:val="center"/>
            </w:pPr>
            <w:r>
              <w:rPr>
                <w:sz w:val="20"/>
              </w:rPr>
              <w:t>接收者密钥生成</w:t>
            </w:r>
          </w:p>
        </w:tc>
        <w:tc>
          <w:tcPr>
            <w:tcW w:type="dxa" w:w="2736"/>
            <w:vAlign w:val="center"/>
            <w:tcMar>
              <w:top w:w="65" w:type="dxa"/>
              <w:bottom w:w="65" w:type="dxa"/>
              <w:left w:w="100" w:type="dxa"/>
              <w:right w:w="100" w:type="dxa"/>
            </w:tcMar>
            <w:shd w:fill="F2F5F8"/>
          </w:tcPr>
          <w:p>
            <w:pPr>
              <w:widowControl/>
              <w:spacing w:after="0" w:line="278" w:lineRule="auto"/>
              <w:jc w:val="center"/>
            </w:pPr>
            <w:r>
              <w:rPr>
                <w:sz w:val="20"/>
              </w:rPr>
              <w:t>0.167195</w:t>
            </w:r>
          </w:p>
        </w:tc>
        <w:tc>
          <w:tcPr>
            <w:tcW w:type="dxa" w:w="2160"/>
            <w:vAlign w:val="center"/>
            <w:tcMar>
              <w:top w:w="65" w:type="dxa"/>
              <w:bottom w:w="65" w:type="dxa"/>
              <w:left w:w="100" w:type="dxa"/>
              <w:right w:w="100" w:type="dxa"/>
            </w:tcMar>
            <w:shd w:fill="F2F5F8"/>
          </w:tcPr>
          <w:p>
            <w:pPr>
              <w:widowControl/>
              <w:spacing w:after="0" w:line="278" w:lineRule="auto"/>
              <w:jc w:val="center"/>
            </w:pPr>
            <w:r>
              <w:rPr>
                <w:sz w:val="20"/>
              </w:rPr>
              <w:t>30</w:t>
            </w:r>
          </w:p>
        </w:tc>
      </w:tr>
      <w:tr>
        <w:trPr>
          <w:cantSplit/>
        </w:trPr>
        <w:tc>
          <w:tcPr>
            <w:tcW w:type="dxa" w:w="5184"/>
            <w:vAlign w:val="center"/>
            <w:tcMar>
              <w:top w:w="65" w:type="dxa"/>
              <w:bottom w:w="65" w:type="dxa"/>
              <w:left w:w="100" w:type="dxa"/>
              <w:right w:w="100" w:type="dxa"/>
            </w:tcMar>
            <w:shd w:fill="FFFFFF"/>
          </w:tcPr>
          <w:p>
            <w:pPr>
              <w:widowControl/>
              <w:spacing w:after="0" w:line="278" w:lineRule="auto"/>
              <w:jc w:val="center"/>
            </w:pPr>
            <w:r>
              <w:rPr>
                <w:sz w:val="20"/>
              </w:rPr>
              <w:t>第二层派生</w:t>
            </w:r>
          </w:p>
        </w:tc>
        <w:tc>
          <w:tcPr>
            <w:tcW w:type="dxa" w:w="2736"/>
            <w:vAlign w:val="center"/>
            <w:tcMar>
              <w:top w:w="65" w:type="dxa"/>
              <w:bottom w:w="65" w:type="dxa"/>
              <w:left w:w="100" w:type="dxa"/>
              <w:right w:w="100" w:type="dxa"/>
            </w:tcMar>
            <w:shd w:fill="FFFFFF"/>
          </w:tcPr>
          <w:p>
            <w:pPr>
              <w:widowControl/>
              <w:spacing w:after="0" w:line="278" w:lineRule="auto"/>
              <w:jc w:val="center"/>
            </w:pPr>
            <w:r>
              <w:rPr>
                <w:sz w:val="20"/>
              </w:rPr>
              <w:t>1.740092</w:t>
            </w:r>
          </w:p>
        </w:tc>
        <w:tc>
          <w:tcPr>
            <w:tcW w:type="dxa" w:w="2160"/>
            <w:vAlign w:val="center"/>
            <w:tcMar>
              <w:top w:w="65" w:type="dxa"/>
              <w:bottom w:w="65" w:type="dxa"/>
              <w:left w:w="100" w:type="dxa"/>
              <w:right w:w="100" w:type="dxa"/>
            </w:tcMar>
            <w:shd w:fill="FFFFFF"/>
          </w:tcPr>
          <w:p>
            <w:pPr>
              <w:widowControl/>
              <w:spacing w:after="0" w:line="278" w:lineRule="auto"/>
              <w:jc w:val="center"/>
            </w:pPr>
            <w:r>
              <w:rPr>
                <w:sz w:val="20"/>
              </w:rPr>
              <w:t>10</w:t>
            </w:r>
          </w:p>
        </w:tc>
      </w:tr>
      <w:tr>
        <w:trPr>
          <w:cantSplit/>
        </w:trPr>
        <w:tc>
          <w:tcPr>
            <w:tcW w:type="dxa" w:w="5184"/>
            <w:vAlign w:val="center"/>
            <w:tcMar>
              <w:top w:w="65" w:type="dxa"/>
              <w:bottom w:w="65" w:type="dxa"/>
              <w:left w:w="100" w:type="dxa"/>
              <w:right w:w="100" w:type="dxa"/>
            </w:tcMar>
            <w:shd w:fill="F2F5F8"/>
          </w:tcPr>
          <w:p>
            <w:pPr>
              <w:widowControl/>
              <w:spacing w:after="0" w:line="278" w:lineRule="auto"/>
              <w:jc w:val="center"/>
            </w:pPr>
            <w:r>
              <w:rPr>
                <w:sz w:val="20"/>
              </w:rPr>
              <w:t>IBS 签名</w:t>
            </w:r>
          </w:p>
        </w:tc>
        <w:tc>
          <w:tcPr>
            <w:tcW w:type="dxa" w:w="2736"/>
            <w:vAlign w:val="center"/>
            <w:tcMar>
              <w:top w:w="65" w:type="dxa"/>
              <w:bottom w:w="65" w:type="dxa"/>
              <w:left w:w="100" w:type="dxa"/>
              <w:right w:w="100" w:type="dxa"/>
            </w:tcMar>
            <w:shd w:fill="F2F5F8"/>
          </w:tcPr>
          <w:p>
            <w:pPr>
              <w:widowControl/>
              <w:spacing w:after="0" w:line="278" w:lineRule="auto"/>
              <w:jc w:val="center"/>
            </w:pPr>
            <w:r>
              <w:rPr>
                <w:sz w:val="20"/>
              </w:rPr>
              <w:t>0.004348</w:t>
            </w:r>
          </w:p>
        </w:tc>
        <w:tc>
          <w:tcPr>
            <w:tcW w:type="dxa" w:w="2160"/>
            <w:vAlign w:val="center"/>
            <w:tcMar>
              <w:top w:w="65" w:type="dxa"/>
              <w:bottom w:w="65" w:type="dxa"/>
              <w:left w:w="100" w:type="dxa"/>
              <w:right w:w="100" w:type="dxa"/>
            </w:tcMar>
            <w:shd w:fill="F2F5F8"/>
          </w:tcPr>
          <w:p>
            <w:pPr>
              <w:widowControl/>
              <w:spacing w:after="0" w:line="278" w:lineRule="auto"/>
              <w:jc w:val="center"/>
            </w:pPr>
            <w:r>
              <w:rPr>
                <w:sz w:val="20"/>
              </w:rPr>
              <w:t>30</w:t>
            </w:r>
          </w:p>
        </w:tc>
      </w:tr>
      <w:tr>
        <w:trPr>
          <w:cantSplit/>
        </w:trPr>
        <w:tc>
          <w:tcPr>
            <w:tcW w:type="dxa" w:w="5184"/>
            <w:vAlign w:val="center"/>
            <w:tcMar>
              <w:top w:w="65" w:type="dxa"/>
              <w:bottom w:w="65" w:type="dxa"/>
              <w:left w:w="100" w:type="dxa"/>
              <w:right w:w="100" w:type="dxa"/>
            </w:tcMar>
            <w:shd w:fill="FFFFFF"/>
          </w:tcPr>
          <w:p>
            <w:pPr>
              <w:widowControl/>
              <w:spacing w:after="0" w:line="278" w:lineRule="auto"/>
              <w:jc w:val="center"/>
            </w:pPr>
            <w:r>
              <w:rPr>
                <w:sz w:val="20"/>
              </w:rPr>
              <w:t>IBS 验签</w:t>
            </w:r>
          </w:p>
        </w:tc>
        <w:tc>
          <w:tcPr>
            <w:tcW w:type="dxa" w:w="2736"/>
            <w:vAlign w:val="center"/>
            <w:tcMar>
              <w:top w:w="65" w:type="dxa"/>
              <w:bottom w:w="65" w:type="dxa"/>
              <w:left w:w="100" w:type="dxa"/>
              <w:right w:w="100" w:type="dxa"/>
            </w:tcMar>
            <w:shd w:fill="FFFFFF"/>
          </w:tcPr>
          <w:p>
            <w:pPr>
              <w:widowControl/>
              <w:spacing w:after="0" w:line="278" w:lineRule="auto"/>
              <w:jc w:val="center"/>
            </w:pPr>
            <w:r>
              <w:rPr>
                <w:sz w:val="20"/>
              </w:rPr>
              <w:t>0.000697</w:t>
            </w:r>
          </w:p>
        </w:tc>
        <w:tc>
          <w:tcPr>
            <w:tcW w:type="dxa" w:w="2160"/>
            <w:vAlign w:val="center"/>
            <w:tcMar>
              <w:top w:w="65" w:type="dxa"/>
              <w:bottom w:w="65" w:type="dxa"/>
              <w:left w:w="100" w:type="dxa"/>
              <w:right w:w="100" w:type="dxa"/>
            </w:tcMar>
            <w:shd w:fill="FFFFFF"/>
          </w:tcPr>
          <w:p>
            <w:pPr>
              <w:widowControl/>
              <w:spacing w:after="0" w:line="278" w:lineRule="auto"/>
              <w:jc w:val="center"/>
            </w:pPr>
            <w:r>
              <w:rPr>
                <w:sz w:val="20"/>
              </w:rPr>
              <w:t>30</w:t>
            </w:r>
          </w:p>
        </w:tc>
      </w:tr>
      <w:tr>
        <w:trPr>
          <w:cantSplit/>
        </w:trPr>
        <w:tc>
          <w:tcPr>
            <w:tcW w:type="dxa" w:w="5184"/>
            <w:vAlign w:val="center"/>
            <w:tcMar>
              <w:top w:w="65" w:type="dxa"/>
              <w:bottom w:w="65" w:type="dxa"/>
              <w:left w:w="100" w:type="dxa"/>
              <w:right w:w="100" w:type="dxa"/>
            </w:tcMar>
            <w:shd w:fill="F2F5F8"/>
          </w:tcPr>
          <w:p>
            <w:pPr>
              <w:widowControl/>
              <w:spacing w:after="0" w:line="278" w:lineRule="auto"/>
              <w:jc w:val="center"/>
            </w:pPr>
            <w:r>
              <w:rPr>
                <w:sz w:val="20"/>
              </w:rPr>
              <w:t>IBME 加密</w:t>
            </w:r>
          </w:p>
        </w:tc>
        <w:tc>
          <w:tcPr>
            <w:tcW w:type="dxa" w:w="2736"/>
            <w:vAlign w:val="center"/>
            <w:tcMar>
              <w:top w:w="65" w:type="dxa"/>
              <w:bottom w:w="65" w:type="dxa"/>
              <w:left w:w="100" w:type="dxa"/>
              <w:right w:w="100" w:type="dxa"/>
            </w:tcMar>
            <w:shd w:fill="F2F5F8"/>
          </w:tcPr>
          <w:p>
            <w:pPr>
              <w:widowControl/>
              <w:spacing w:after="0" w:line="278" w:lineRule="auto"/>
              <w:jc w:val="center"/>
            </w:pPr>
            <w:r>
              <w:rPr>
                <w:sz w:val="20"/>
              </w:rPr>
              <w:t>44.367147</w:t>
            </w:r>
          </w:p>
        </w:tc>
        <w:tc>
          <w:tcPr>
            <w:tcW w:type="dxa" w:w="2160"/>
            <w:vAlign w:val="center"/>
            <w:tcMar>
              <w:top w:w="65" w:type="dxa"/>
              <w:bottom w:w="65" w:type="dxa"/>
              <w:left w:w="100" w:type="dxa"/>
              <w:right w:w="100" w:type="dxa"/>
            </w:tcMar>
            <w:shd w:fill="F2F5F8"/>
          </w:tcPr>
          <w:p>
            <w:pPr>
              <w:widowControl/>
              <w:spacing w:after="0" w:line="278" w:lineRule="auto"/>
              <w:jc w:val="center"/>
            </w:pPr>
            <w:r>
              <w:rPr>
                <w:sz w:val="20"/>
              </w:rPr>
              <w:t>10</w:t>
            </w:r>
          </w:p>
        </w:tc>
      </w:tr>
      <w:tr>
        <w:trPr>
          <w:cantSplit/>
        </w:trPr>
        <w:tc>
          <w:tcPr>
            <w:tcW w:type="dxa" w:w="5184"/>
            <w:vAlign w:val="center"/>
            <w:tcMar>
              <w:top w:w="65" w:type="dxa"/>
              <w:bottom w:w="65" w:type="dxa"/>
              <w:left w:w="100" w:type="dxa"/>
              <w:right w:w="100" w:type="dxa"/>
            </w:tcMar>
            <w:shd w:fill="FFFFFF"/>
          </w:tcPr>
          <w:p>
            <w:pPr>
              <w:widowControl/>
              <w:spacing w:after="0" w:line="278" w:lineRule="auto"/>
              <w:jc w:val="center"/>
            </w:pPr>
            <w:r>
              <w:rPr>
                <w:sz w:val="20"/>
              </w:rPr>
              <w:t>IBME 解密</w:t>
            </w:r>
          </w:p>
        </w:tc>
        <w:tc>
          <w:tcPr>
            <w:tcW w:type="dxa" w:w="2736"/>
            <w:vAlign w:val="center"/>
            <w:tcMar>
              <w:top w:w="65" w:type="dxa"/>
              <w:bottom w:w="65" w:type="dxa"/>
              <w:left w:w="100" w:type="dxa"/>
              <w:right w:w="100" w:type="dxa"/>
            </w:tcMar>
            <w:shd w:fill="FFFFFF"/>
          </w:tcPr>
          <w:p>
            <w:pPr>
              <w:widowControl/>
              <w:spacing w:after="0" w:line="278" w:lineRule="auto"/>
              <w:jc w:val="center"/>
            </w:pPr>
            <w:r>
              <w:rPr>
                <w:sz w:val="20"/>
              </w:rPr>
              <w:t>2.109587</w:t>
            </w:r>
          </w:p>
        </w:tc>
        <w:tc>
          <w:tcPr>
            <w:tcW w:type="dxa" w:w="2160"/>
            <w:vAlign w:val="center"/>
            <w:tcMar>
              <w:top w:w="65" w:type="dxa"/>
              <w:bottom w:w="65" w:type="dxa"/>
              <w:left w:w="100" w:type="dxa"/>
              <w:right w:w="100" w:type="dxa"/>
            </w:tcMar>
            <w:shd w:fill="FFFFFF"/>
          </w:tcPr>
          <w:p>
            <w:pPr>
              <w:widowControl/>
              <w:spacing w:after="0" w:line="278" w:lineRule="auto"/>
              <w:jc w:val="center"/>
            </w:pPr>
            <w:r>
              <w:rPr>
                <w:sz w:val="20"/>
              </w:rPr>
              <w:t>10</w:t>
            </w:r>
          </w:p>
        </w:tc>
      </w:tr>
    </w:tbl>
    <w:p>
      <w:pPr>
        <w:spacing w:after="60" w:before="0" w:line="120" w:lineRule="auto"/>
      </w:pPr>
      <w:r>
        <w:rPr>
          <w:sz w:val="4"/>
        </w:rPr>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5184"/>
        <w:gridCol w:w="4896"/>
      </w:tblGrid>
      <w:tr>
        <w:trPr>
          <w:cantSplit/>
          <w:tblHeader w:val="true"/>
        </w:trPr>
        <w:tc>
          <w:tcPr>
            <w:tcW w:type="dxa" w:w="5184"/>
            <w:vAlign w:val="center"/>
            <w:tcMar>
              <w:top w:w="65" w:type="dxa"/>
              <w:bottom w:w="65" w:type="dxa"/>
              <w:left w:w="100" w:type="dxa"/>
              <w:right w:w="100" w:type="dxa"/>
            </w:tcMar>
            <w:shd w:fill="17365D"/>
          </w:tcPr>
          <w:p>
            <w:pPr>
              <w:widowControl/>
              <w:spacing w:after="0" w:line="278" w:lineRule="auto"/>
              <w:jc w:val="center"/>
            </w:pPr>
            <w:r>
              <w:rPr>
                <w:b/>
                <w:color w:val="FFFFFF"/>
                <w:sz w:val="20"/>
              </w:rPr>
              <w:t>对象</w:t>
            </w:r>
          </w:p>
        </w:tc>
        <w:tc>
          <w:tcPr>
            <w:tcW w:type="dxa" w:w="4896"/>
            <w:vAlign w:val="center"/>
            <w:tcMar>
              <w:top w:w="65" w:type="dxa"/>
              <w:bottom w:w="65" w:type="dxa"/>
              <w:left w:w="100" w:type="dxa"/>
              <w:right w:w="100" w:type="dxa"/>
            </w:tcMar>
            <w:shd w:fill="17365D"/>
          </w:tcPr>
          <w:p>
            <w:pPr>
              <w:widowControl/>
              <w:spacing w:after="0" w:line="278" w:lineRule="auto"/>
              <w:jc w:val="center"/>
            </w:pPr>
            <w:r>
              <w:rPr>
                <w:b/>
                <w:color w:val="FFFFFF"/>
                <w:sz w:val="20"/>
              </w:rPr>
              <w:t>序列化字节数</w:t>
            </w:r>
          </w:p>
        </w:tc>
      </w:tr>
      <w:tr>
        <w:trPr>
          <w:cantSplit/>
        </w:trPr>
        <w:tc>
          <w:tcPr>
            <w:tcW w:type="dxa" w:w="5184"/>
            <w:vAlign w:val="center"/>
            <w:tcMar>
              <w:top w:w="65" w:type="dxa"/>
              <w:bottom w:w="65" w:type="dxa"/>
              <w:left w:w="100" w:type="dxa"/>
              <w:right w:w="100" w:type="dxa"/>
            </w:tcMar>
            <w:shd w:fill="F2F5F8"/>
          </w:tcPr>
          <w:p>
            <w:pPr>
              <w:widowControl/>
              <w:spacing w:after="0" w:line="278" w:lineRule="auto"/>
              <w:jc w:val="center"/>
            </w:pPr>
            <w:r>
              <w:rPr>
                <w:sz w:val="20"/>
              </w:rPr>
              <w:t>系统公钥</w:t>
            </w:r>
          </w:p>
        </w:tc>
        <w:tc>
          <w:tcPr>
            <w:tcW w:type="dxa" w:w="4896"/>
            <w:vAlign w:val="center"/>
            <w:tcMar>
              <w:top w:w="65" w:type="dxa"/>
              <w:bottom w:w="65" w:type="dxa"/>
              <w:left w:w="100" w:type="dxa"/>
              <w:right w:w="100" w:type="dxa"/>
            </w:tcMar>
            <w:shd w:fill="F2F5F8"/>
          </w:tcPr>
          <w:p>
            <w:pPr>
              <w:widowControl/>
              <w:spacing w:after="0" w:line="278" w:lineRule="auto"/>
              <w:jc w:val="center"/>
            </w:pPr>
            <w:r>
              <w:rPr>
                <w:sz w:val="20"/>
              </w:rPr>
              <w:t>5,491</w:t>
            </w:r>
          </w:p>
        </w:tc>
      </w:tr>
      <w:tr>
        <w:trPr>
          <w:cantSplit/>
        </w:trPr>
        <w:tc>
          <w:tcPr>
            <w:tcW w:type="dxa" w:w="5184"/>
            <w:vAlign w:val="center"/>
            <w:tcMar>
              <w:top w:w="65" w:type="dxa"/>
              <w:bottom w:w="65" w:type="dxa"/>
              <w:left w:w="100" w:type="dxa"/>
              <w:right w:w="100" w:type="dxa"/>
            </w:tcMar>
            <w:shd w:fill="FFFFFF"/>
          </w:tcPr>
          <w:p>
            <w:pPr>
              <w:widowControl/>
              <w:spacing w:after="0" w:line="278" w:lineRule="auto"/>
              <w:jc w:val="center"/>
            </w:pPr>
            <w:r>
              <w:rPr>
                <w:sz w:val="20"/>
              </w:rPr>
              <w:t>主密钥</w:t>
            </w:r>
          </w:p>
        </w:tc>
        <w:tc>
          <w:tcPr>
            <w:tcW w:type="dxa" w:w="4896"/>
            <w:vAlign w:val="center"/>
            <w:tcMar>
              <w:top w:w="65" w:type="dxa"/>
              <w:bottom w:w="65" w:type="dxa"/>
              <w:left w:w="100" w:type="dxa"/>
              <w:right w:w="100" w:type="dxa"/>
            </w:tcMar>
            <w:shd w:fill="FFFFFF"/>
          </w:tcPr>
          <w:p>
            <w:pPr>
              <w:widowControl/>
              <w:spacing w:after="0" w:line="278" w:lineRule="auto"/>
              <w:jc w:val="center"/>
            </w:pPr>
            <w:r>
              <w:rPr>
                <w:sz w:val="20"/>
              </w:rPr>
              <w:t>9,907</w:t>
            </w:r>
          </w:p>
        </w:tc>
      </w:tr>
      <w:tr>
        <w:trPr>
          <w:cantSplit/>
        </w:trPr>
        <w:tc>
          <w:tcPr>
            <w:tcW w:type="dxa" w:w="5184"/>
            <w:vAlign w:val="center"/>
            <w:tcMar>
              <w:top w:w="65" w:type="dxa"/>
              <w:bottom w:w="65" w:type="dxa"/>
              <w:left w:w="100" w:type="dxa"/>
              <w:right w:w="100" w:type="dxa"/>
            </w:tcMar>
            <w:shd w:fill="F2F5F8"/>
          </w:tcPr>
          <w:p>
            <w:pPr>
              <w:widowControl/>
              <w:spacing w:after="0" w:line="278" w:lineRule="auto"/>
              <w:jc w:val="center"/>
            </w:pPr>
            <w:r>
              <w:rPr>
                <w:sz w:val="20"/>
              </w:rPr>
              <w:t>发送者用户密钥</w:t>
            </w:r>
          </w:p>
        </w:tc>
        <w:tc>
          <w:tcPr>
            <w:tcW w:type="dxa" w:w="4896"/>
            <w:vAlign w:val="center"/>
            <w:tcMar>
              <w:top w:w="65" w:type="dxa"/>
              <w:bottom w:w="65" w:type="dxa"/>
              <w:left w:w="100" w:type="dxa"/>
              <w:right w:w="100" w:type="dxa"/>
            </w:tcMar>
            <w:shd w:fill="F2F5F8"/>
          </w:tcPr>
          <w:p>
            <w:pPr>
              <w:widowControl/>
              <w:spacing w:after="0" w:line="278" w:lineRule="auto"/>
              <w:jc w:val="center"/>
            </w:pPr>
            <w:r>
              <w:rPr>
                <w:sz w:val="20"/>
              </w:rPr>
              <w:t>7,209</w:t>
            </w:r>
          </w:p>
        </w:tc>
      </w:tr>
      <w:tr>
        <w:trPr>
          <w:cantSplit/>
        </w:trPr>
        <w:tc>
          <w:tcPr>
            <w:tcW w:type="dxa" w:w="5184"/>
            <w:vAlign w:val="center"/>
            <w:tcMar>
              <w:top w:w="65" w:type="dxa"/>
              <w:bottom w:w="65" w:type="dxa"/>
              <w:left w:w="100" w:type="dxa"/>
              <w:right w:w="100" w:type="dxa"/>
            </w:tcMar>
            <w:shd w:fill="FFFFFF"/>
          </w:tcPr>
          <w:p>
            <w:pPr>
              <w:widowControl/>
              <w:spacing w:after="0" w:line="278" w:lineRule="auto"/>
              <w:jc w:val="center"/>
            </w:pPr>
            <w:r>
              <w:rPr>
                <w:sz w:val="20"/>
              </w:rPr>
              <w:t>接收者用户密钥</w:t>
            </w:r>
          </w:p>
        </w:tc>
        <w:tc>
          <w:tcPr>
            <w:tcW w:type="dxa" w:w="4896"/>
            <w:vAlign w:val="center"/>
            <w:tcMar>
              <w:top w:w="65" w:type="dxa"/>
              <w:bottom w:w="65" w:type="dxa"/>
              <w:left w:w="100" w:type="dxa"/>
              <w:right w:w="100" w:type="dxa"/>
            </w:tcMar>
            <w:shd w:fill="FFFFFF"/>
          </w:tcPr>
          <w:p>
            <w:pPr>
              <w:widowControl/>
              <w:spacing w:after="0" w:line="278" w:lineRule="auto"/>
              <w:jc w:val="center"/>
            </w:pPr>
            <w:r>
              <w:rPr>
                <w:sz w:val="20"/>
              </w:rPr>
              <w:t>80,824</w:t>
            </w:r>
          </w:p>
        </w:tc>
      </w:tr>
      <w:tr>
        <w:trPr>
          <w:cantSplit/>
        </w:trPr>
        <w:tc>
          <w:tcPr>
            <w:tcW w:type="dxa" w:w="5184"/>
            <w:vAlign w:val="center"/>
            <w:tcMar>
              <w:top w:w="65" w:type="dxa"/>
              <w:bottom w:w="65" w:type="dxa"/>
              <w:left w:w="100" w:type="dxa"/>
              <w:right w:w="100" w:type="dxa"/>
            </w:tcMar>
            <w:shd w:fill="F2F5F8"/>
          </w:tcPr>
          <w:p>
            <w:pPr>
              <w:widowControl/>
              <w:spacing w:after="0" w:line="278" w:lineRule="auto"/>
              <w:jc w:val="center"/>
            </w:pPr>
            <w:r>
              <w:rPr>
                <w:sz w:val="20"/>
              </w:rPr>
              <w:t>IBS 签名</w:t>
            </w:r>
          </w:p>
        </w:tc>
        <w:tc>
          <w:tcPr>
            <w:tcW w:type="dxa" w:w="4896"/>
            <w:vAlign w:val="center"/>
            <w:tcMar>
              <w:top w:w="65" w:type="dxa"/>
              <w:bottom w:w="65" w:type="dxa"/>
              <w:left w:w="100" w:type="dxa"/>
              <w:right w:w="100" w:type="dxa"/>
            </w:tcMar>
            <w:shd w:fill="F2F5F8"/>
          </w:tcPr>
          <w:p>
            <w:pPr>
              <w:widowControl/>
              <w:spacing w:after="0" w:line="278" w:lineRule="auto"/>
              <w:jc w:val="center"/>
            </w:pPr>
            <w:r>
              <w:rPr>
                <w:sz w:val="20"/>
              </w:rPr>
              <w:t>322</w:t>
            </w:r>
          </w:p>
        </w:tc>
      </w:tr>
      <w:tr>
        <w:trPr>
          <w:cantSplit/>
        </w:trPr>
        <w:tc>
          <w:tcPr>
            <w:tcW w:type="dxa" w:w="5184"/>
            <w:vAlign w:val="center"/>
            <w:tcMar>
              <w:top w:w="65" w:type="dxa"/>
              <w:bottom w:w="65" w:type="dxa"/>
              <w:left w:w="100" w:type="dxa"/>
              <w:right w:w="100" w:type="dxa"/>
            </w:tcMar>
            <w:shd w:fill="FFFFFF"/>
          </w:tcPr>
          <w:p>
            <w:pPr>
              <w:widowControl/>
              <w:spacing w:after="0" w:line="278" w:lineRule="auto"/>
              <w:jc w:val="center"/>
            </w:pPr>
            <w:r>
              <w:rPr>
                <w:sz w:val="20"/>
              </w:rPr>
              <w:t>IBME 密文</w:t>
            </w:r>
          </w:p>
        </w:tc>
        <w:tc>
          <w:tcPr>
            <w:tcW w:type="dxa" w:w="4896"/>
            <w:vAlign w:val="center"/>
            <w:tcMar>
              <w:top w:w="65" w:type="dxa"/>
              <w:bottom w:w="65" w:type="dxa"/>
              <w:left w:w="100" w:type="dxa"/>
              <w:right w:w="100" w:type="dxa"/>
            </w:tcMar>
            <w:shd w:fill="FFFFFF"/>
          </w:tcPr>
          <w:p>
            <w:pPr>
              <w:widowControl/>
              <w:spacing w:after="0" w:line="278" w:lineRule="auto"/>
              <w:jc w:val="center"/>
            </w:pPr>
            <w:r>
              <w:rPr>
                <w:sz w:val="20"/>
              </w:rPr>
              <w:t>4,733,837</w:t>
            </w:r>
          </w:p>
        </w:tc>
      </w:tr>
    </w:tbl>
    <w:p>
      <w:pPr>
        <w:spacing w:after="60" w:before="0" w:line="120" w:lineRule="auto"/>
      </w:pPr>
      <w:r>
        <w:rPr>
          <w:sz w:val="4"/>
        </w:rPr>
      </w:r>
    </w:p>
    <w:p>
      <w:r>
        <w:t xml:space="preserve">32 字节消息得到约 4.734 MB 密文，主要来自逐比特加密整个“签名加消息”载荷。当前第二层矩阵为 472 列，加密每个比特保存 473 个模系数，每个系数占 3 字节，即载荷每字节贡献 11,352 字节。固定身份、参数和其它封装后，缩短签名 </w:t>
      </w:r>
      <m:oMath>
        <m:r>
          <m:t>Δ</m:t>
        </m:r>
      </m:oMath>
      <w:r>
        <w:t xml:space="preserve"> 字节会减少约 </w:t>
      </w:r>
      <m:oMath>
        <m:r>
          <m:t>11352Δ</m:t>
        </m:r>
      </m:oMath>
      <w:r>
        <w:t xml:space="preserve"> 字节密文。这是当前教学格式的尺寸推导，不是安全参数下的优化实测结果。</w:t>
      </w:r>
    </w:p>
    <w:p>
      <w:r>
        <w:t xml:space="preserve">历史基准没有完整峰值内存统计，也没有多个安全方案的公平对比。历史安全报告中还记载了 LWE 攻击估计约 </w:t>
      </w:r>
      <m:oMath>
        <m:sSup>
          <m:e>
            <m:r>
              <m:t>2</m:t>
            </m:r>
          </m:e>
          <m:sup>
            <m:r>
              <m:t>33.1</m:t>
            </m:r>
          </m:sup>
        </m:sSup>
      </m:oMath>
      <w:r>
        <w:t xml:space="preserve"> 的操作成本，以及另一种 LLL 伪造实验；本文没有重新执行这些实验。估计值取决于输入分布、样本数、成本模型和工具版本，不能直接转换成几秒或几分钟，更不能当作已经完成的明文破解。</w:t>
      </w:r>
    </w:p>
    <w:p>
      <w:pPr>
        <w:pStyle w:val="Heading1"/>
      </w:pPr>
      <w:r>
        <w:t>6 当前关键缺口与重建理由</w:t>
      </w:r>
    </w:p>
    <w:p>
      <w:pPr>
        <w:pStyle w:val="Heading2"/>
      </w:pPr>
      <w:r>
        <w:t>6.1 IBS 的公开线性代数攻击</w:t>
      </w:r>
    </w:p>
    <w:p>
      <w:r>
        <w:t xml:space="preserve">当前 </w:t>
      </w:r>
      <m:oMath>
        <m:sSub>
          <m:e>
            <m:r>
              <m:t>F</m:t>
            </m:r>
          </m:e>
          <m:sub>
            <m:r>
              <m:t>id</m:t>
            </m:r>
          </m:sub>
        </m:sSub>
      </m:oMath>
      <w:r>
        <w:t xml:space="preserve"> 是模 257 的 8 行、152 列矩阵。若能找到 8 个线性无关列，可仅在这 8 个位置解方程，其余位置置零，再把系数中心化到 </w:t>
      </w:r>
      <m:oMath>
        <m:d>
          <m:dPr>
            <m:begChr m:val="["/>
            <m:sepChr m:val=""/>
            <m:endChr m:val="]"/>
          </m:dPr>
          <m:e>
            <m:r>
              <m:t>−</m:t>
            </m:r>
            <m:r>
              <m:t>128</m:t>
            </m:r>
            <m:r>
              <m:t>,</m:t>
            </m:r>
            <m:r>
              <m:t>128</m:t>
            </m:r>
          </m:e>
        </m:d>
      </m:oMath>
      <w:r>
        <w:t>。所得解满足</w:t>
      </w:r>
    </w:p>
    <w:p>
      <w:pPr>
        <w:spacing w:before="60" w:after="140"/>
        <w:jc w:val="center"/>
      </w:pPr>
      <m:oMath>
        <m:r>
          <m:t>‖z</m:t>
        </m:r>
        <m:sSub>
          <m:e>
            <m:r>
              <m:t>‖</m:t>
            </m:r>
          </m:e>
          <m:sub>
            <m:r>
              <m:t>2</m:t>
            </m:r>
          </m:sub>
        </m:sSub>
        <m:r>
          <m:t>≤128</m:t>
        </m:r>
        <m:rad>
          <m:radPr>
            <m:degHide m:val="on"/>
          </m:radPr>
          <m:deg/>
          <m:e>
            <m:r>
              <m:t>8</m:t>
            </m:r>
          </m:e>
        </m:rad>
        <m:r>
          <m:t>≈362.04&lt;64</m:t>
        </m:r>
        <m:rad>
          <m:radPr>
            <m:degHide m:val="on"/>
          </m:radPr>
          <m:deg/>
          <m:e>
            <m:r>
              <m:t>152</m:t>
            </m:r>
          </m:e>
        </m:rad>
        <m:r>
          <m:t>≈789.04.</m:t>
        </m:r>
      </m:oMath>
    </w:p>
    <w:p>
      <w:r>
        <w:t>因此验签方程与范数检查都可以通过，攻击者不需要陷门。旧说明只讨论了 152 个非零分量的稠密向量，漏掉了稀疏解。这个推导有“选取列满秩”的条件，本次攻击脚本实际找到了这样的列。</w:t>
      </w:r>
    </w:p>
    <w:p>
      <w:r>
        <w:t xml:space="preserve">不能以“只缩小验签界”作为完整修复：需要同时保证合法签名分布、正确性概率、采样要求及 SIS 归约参数。验签界 </w:t>
      </w:r>
      <m:oMath>
        <m:sSub>
          <m:e>
            <m:r>
              <m:t>B</m:t>
            </m:r>
          </m:e>
          <m:sub>
            <m:r>
              <m:t>sig</m:t>
            </m:r>
          </m:sub>
        </m:sSub>
      </m:oMath>
      <w:r>
        <w:t xml:space="preserve"> 与归约中得到的 SIS 解范数界 </w:t>
      </w:r>
      <m:oMath>
        <m:sSub>
          <m:e>
            <m:r>
              <m:t>β</m:t>
            </m:r>
          </m:e>
          <m:sub>
            <m:r>
              <m:t>SIS</m:t>
            </m:r>
          </m:sub>
        </m:sSub>
      </m:oMath>
      <w:r>
        <w:t xml:space="preserve"> 也可能不同，应从定理推导，不能直接替换。</w:t>
      </w:r>
    </w:p>
    <w:p>
      <w:pPr>
        <w:pStyle w:val="Heading2"/>
      </w:pPr>
      <w:r>
        <w:t>6.2 认证定理前提与基本 IBS 不一致</w:t>
      </w:r>
    </w:p>
    <w:p>
      <w:r>
        <w:t>当前主要实现的是 Wang 方案中的基本短向量 IBS。论文及本地博士论文把基本形式证明到非自适应选择消息安全，即 UF-naCMA；通用 IBME 组合所需的 IBS 安全前提更强。相应自适应转换尚未在当前代码中完整落实。</w:t>
      </w:r>
    </w:p>
    <w:p>
      <w:r>
        <w:t>此外，2026 年 Yu 等研究专门讨论同一身份重复查询时发送密钥的一致性。部署中会重复使用一把发送密钥，不能只验证每次重新发钥的模型。应逐篇核对 KeyGen、Sign 查询、主密钥秘密种子或缓存状态及安全游戏。这个新问题值得调查，但不能未经证明就宣布所有旧构造无效。[S3]</w:t>
      </w:r>
    </w:p>
    <w:p>
      <w:pPr>
        <w:pStyle w:val="Heading2"/>
      </w:pPr>
      <w:r>
        <w:t>6.3 HIBE 名称与原论文算法不能等同</w:t>
      </w:r>
    </w:p>
    <w:p>
      <w:r>
        <w:t xml:space="preserve">ABB10 CRYPTO 2010 的 §4 使用固定维度的身份相关矩阵变换和 BasisDel，典型形式为 </w:t>
      </w:r>
      <m:oMath>
        <m:sSub>
          <m:e>
            <m:r>
              <m:t>F</m:t>
            </m:r>
          </m:e>
          <m:sub>
            <m:r>
              <m:t>id</m:t>
            </m:r>
          </m:sub>
        </m:sSub>
        <m:r>
          <m:t>=A</m:t>
        </m:r>
        <m:sSubSup>
          <m:e>
            <m:r>
              <m:t>R</m:t>
            </m:r>
          </m:e>
          <m:sub>
            <m:r>
              <m:t>id</m:t>
            </m:r>
          </m:sub>
          <m:sup>
            <m:r>
              <m:t>−1</m:t>
            </m:r>
          </m:sup>
        </m:sSubSup>
      </m:oMath>
      <w:r>
        <w:t>；当前实现则不断拼接身份矩阵块。它们的代数结构、委派算法、维度和采样需求不同。文件和类名中含有 ABB10，不能据此继承该论文的匿名性与安全证明。[S4]</w:t>
      </w:r>
    </w:p>
    <w:p>
      <w:r>
        <w:t>在选择 ABB10 时还必须标明具体版本、章节和定理：§4 的 Theorem 5 是 ROM 中的自适应 INDr-ID-CPA；论文另有标准模型构造，不能把其不同章节性质拼到同一个后端上。两层情况下，证明中的查询相关损失也应进入具体安全评估。未来可以实现论文原算法，或给现有简化算法重新命名并仅保留为教学对照。</w:t>
      </w:r>
    </w:p>
    <w:p>
      <w:pPr>
        <w:pStyle w:val="Heading2"/>
      </w:pPr>
      <w:r>
        <w:t>6.4 采样分布与哈希映射尚需完整处理</w:t>
      </w:r>
    </w:p>
    <w:p>
      <w:r>
        <w:t>当前标量采样使用截断离散高斯拒绝采样，并非用均匀随机数冒充高斯。但标量统计测试不能验证整个陷门余类采样输出分布与论文一致。缺失的扰动步骤、平滑参数条件、谱范数约束、截断误差和浮点计算误差都应进入审查。</w:t>
      </w:r>
    </w:p>
    <w:p>
      <w:r>
        <w:t>哈希到模空间的简单取模可能有偏差；需要按目标论文定义采用正确分布或量化偏差。身份哈希、消息哈希、密钥与协议上下文绑定也要统一。域分隔已存在，但任意追加新的输入字段都会改变方案定义，仍需说明其与证明中的随机预言机对应关系。</w:t>
      </w:r>
    </w:p>
    <w:p>
      <w:pPr>
        <w:pStyle w:val="Heading2"/>
      </w:pPr>
      <w:r>
        <w:t>6.5 消息认证与密文完整性存在距离</w:t>
      </w:r>
    </w:p>
    <w:p>
      <w:r>
        <w:t xml:space="preserve">Regev 风格加密有噪声容忍区间，修改某个系数后可能仍得到相同的消息和签名。隐藏在里面的签名依旧有效，接口就会接受修改后的密文。现有测试中有一项明确允许结果为 </w:t>
      </w:r>
      <w:r>
        <w:rPr>
          <w:rFonts w:ascii="Consolas" w:hAnsi="Consolas"/>
          <w:sz w:val="19"/>
        </w:rPr>
        <w:t>BOTTOM</w:t>
      </w:r>
      <w:r>
        <w:t xml:space="preserve"> 或原消息，因此其通过不能证明满足赛题 R3 和 R4 的篡改拒绝要求。</w:t>
      </w:r>
    </w:p>
    <w:p>
      <w:r>
        <w:t>重建时要确定针对外部攻击者、持有接收密钥的攻击者、重放及合法重新加密，各自希望保证什么。合理的密码目标通常是拒绝未经授权生成或修改的密文，而不是无状态地把所有有效重加密都识别为“曾被改动”。随机数、重复密文记录和重放策略有独立语义。我们必须将赛题的拒绝要求落实为明确的输入类型与测试预期，并选用满足目标的认证组合。</w:t>
      </w:r>
    </w:p>
    <w:p>
      <w:r>
        <w:t>在外层消息上加 AEAD 可以保护消息体，但若格密文胶囊或头部没有正确绑定，仍可能出现外层认证通过而胶囊被改动。CCA 安全、增强隐私和完整性不自动来自“加了 AES-GCM”这一步。</w:t>
      </w:r>
    </w:p>
    <w:p>
      <w:pPr>
        <w:pStyle w:val="Heading2"/>
      </w:pPr>
      <w:r>
        <w:t>6.6 尚未形成多个完整实例与安全配置</w:t>
      </w:r>
    </w:p>
    <w:p>
      <w:r>
        <w:t xml:space="preserve">当前没有可宣称安全的正式参数集，没有完整的增强隐私 </w:t>
      </w:r>
      <w:r>
        <w:rPr>
          <w:rFonts w:ascii="Consolas" w:hAnsi="Consolas"/>
          <w:sz w:val="19"/>
        </w:rPr>
        <w:t>Ext</w:t>
      </w:r>
      <w:r>
        <w:t xml:space="preserve"> 和 </w:t>
      </w:r>
      <w:r>
        <w:rPr>
          <w:rFonts w:ascii="Consolas" w:hAnsi="Consolas"/>
          <w:sz w:val="19"/>
        </w:rPr>
        <w:t>ReExt</w:t>
      </w:r>
      <w:r>
        <w:t xml:space="preserve"> 实现，也没有相应身份熵条件证据。一般批量测试、多个格方案实例比较、原生内存统计及完整可视化仍需完成。现阶段能证明的是教学流程有运行基础，不能证明已经完成赛题要求的安全实例。</w:t>
      </w:r>
    </w:p>
    <w:p>
      <w:pPr>
        <w:pStyle w:val="Heading1"/>
      </w:pPr>
      <w:r>
        <w:t>7 对既有验收编号的本次核验</w:t>
      </w:r>
    </w:p>
    <w:p>
      <w:r>
        <w:t>下表的“有基础”只表示已存在可复用实现或测试，不表示密码学安全达标。“未完成”表示本次未找到足够交付证据；它不是对未来实现能力的判断。</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792"/>
        <w:gridCol w:w="2952"/>
        <w:gridCol w:w="6336"/>
      </w:tblGrid>
      <w:tr>
        <w:trPr>
          <w:cantSplit/>
          <w:tblHeader w:val="true"/>
        </w:trPr>
        <w:tc>
          <w:tcPr>
            <w:tcW w:type="dxa" w:w="792"/>
            <w:vAlign w:val="center"/>
            <w:tcMar>
              <w:top w:w="85" w:type="dxa"/>
              <w:bottom w:w="85" w:type="dxa"/>
              <w:left w:w="100" w:type="dxa"/>
              <w:right w:w="100" w:type="dxa"/>
            </w:tcMar>
            <w:shd w:fill="17365D"/>
          </w:tcPr>
          <w:p>
            <w:pPr>
              <w:widowControl/>
              <w:spacing w:after="0" w:line="278" w:lineRule="auto"/>
              <w:jc w:val="center"/>
            </w:pPr>
            <w:r>
              <w:rPr>
                <w:b/>
                <w:color w:val="FFFFFF"/>
                <w:sz w:val="20"/>
              </w:rPr>
              <w:t>编号</w:t>
            </w:r>
          </w:p>
        </w:tc>
        <w:tc>
          <w:tcPr>
            <w:tcW w:type="dxa" w:w="2952"/>
            <w:vAlign w:val="center"/>
            <w:tcMar>
              <w:top w:w="85" w:type="dxa"/>
              <w:bottom w:w="85" w:type="dxa"/>
              <w:left w:w="100" w:type="dxa"/>
              <w:right w:w="100" w:type="dxa"/>
            </w:tcMar>
            <w:shd w:fill="17365D"/>
          </w:tcPr>
          <w:p>
            <w:pPr>
              <w:widowControl/>
              <w:spacing w:after="0" w:line="278" w:lineRule="auto"/>
              <w:jc w:val="center"/>
            </w:pPr>
            <w:r>
              <w:rPr>
                <w:b/>
                <w:color w:val="FFFFFF"/>
                <w:sz w:val="20"/>
              </w:rPr>
              <w:t>核验项</w:t>
            </w:r>
          </w:p>
        </w:tc>
        <w:tc>
          <w:tcPr>
            <w:tcW w:type="dxa" w:w="6336"/>
            <w:vAlign w:val="center"/>
            <w:tcMar>
              <w:top w:w="85" w:type="dxa"/>
              <w:bottom w:w="85" w:type="dxa"/>
              <w:left w:w="100" w:type="dxa"/>
              <w:right w:w="100" w:type="dxa"/>
            </w:tcMar>
            <w:shd w:fill="17365D"/>
          </w:tcPr>
          <w:p>
            <w:pPr>
              <w:widowControl/>
              <w:spacing w:after="0" w:line="278" w:lineRule="auto"/>
              <w:jc w:val="center"/>
            </w:pPr>
            <w:r>
              <w:rPr>
                <w:b/>
                <w:color w:val="FFFFFF"/>
                <w:sz w:val="20"/>
              </w:rPr>
              <w:t>本次结论</w:t>
            </w:r>
          </w:p>
        </w:tc>
      </w:tr>
      <w:tr>
        <w:trPr>
          <w:cantSplit/>
        </w:trPr>
        <w:tc>
          <w:tcPr>
            <w:tcW w:type="dxa" w:w="792"/>
            <w:vAlign w:val="center"/>
            <w:tcMar>
              <w:top w:w="85" w:type="dxa"/>
              <w:bottom w:w="85" w:type="dxa"/>
              <w:left w:w="100" w:type="dxa"/>
              <w:right w:w="100" w:type="dxa"/>
            </w:tcMar>
            <w:shd w:fill="F2F5F8"/>
          </w:tcPr>
          <w:p>
            <w:pPr>
              <w:widowControl/>
              <w:spacing w:after="0" w:line="278" w:lineRule="auto"/>
              <w:jc w:val="center"/>
            </w:pPr>
            <w:r>
              <w:rPr>
                <w:sz w:val="20"/>
              </w:rPr>
              <w:t>A01</w:t>
            </w:r>
          </w:p>
        </w:tc>
        <w:tc>
          <w:tcPr>
            <w:tcW w:type="dxa" w:w="2952"/>
            <w:vAlign w:val="center"/>
            <w:tcMar>
              <w:top w:w="85" w:type="dxa"/>
              <w:bottom w:w="85" w:type="dxa"/>
              <w:left w:w="100" w:type="dxa"/>
              <w:right w:w="100" w:type="dxa"/>
            </w:tcMar>
            <w:shd w:fill="F2F5F8"/>
          </w:tcPr>
          <w:p>
            <w:pPr>
              <w:widowControl/>
              <w:spacing w:after="0" w:line="278" w:lineRule="auto"/>
            </w:pPr>
            <w:r>
              <w:rPr>
                <w:sz w:val="20"/>
              </w:rPr>
              <w:t>通用构造与完整流程</w:t>
            </w:r>
          </w:p>
        </w:tc>
        <w:tc>
          <w:tcPr>
            <w:tcW w:type="dxa" w:w="6336"/>
            <w:vAlign w:val="center"/>
            <w:tcMar>
              <w:top w:w="85" w:type="dxa"/>
              <w:bottom w:w="85" w:type="dxa"/>
              <w:left w:w="100" w:type="dxa"/>
              <w:right w:w="100" w:type="dxa"/>
            </w:tcMar>
            <w:shd w:fill="F2F5F8"/>
          </w:tcPr>
          <w:p>
            <w:pPr>
              <w:widowControl/>
              <w:spacing w:after="0" w:line="278" w:lineRule="auto"/>
            </w:pPr>
            <w:r>
              <w:rPr>
                <w:sz w:val="20"/>
              </w:rPr>
              <w:t>教学流程已运行，构造到安全实现的对应不完整</w:t>
            </w:r>
          </w:p>
        </w:tc>
      </w:tr>
      <w:tr>
        <w:trPr>
          <w:cantSplit/>
        </w:trPr>
        <w:tc>
          <w:tcPr>
            <w:tcW w:type="dxa" w:w="792"/>
            <w:vAlign w:val="center"/>
            <w:tcMar>
              <w:top w:w="85" w:type="dxa"/>
              <w:bottom w:w="85" w:type="dxa"/>
              <w:left w:w="100" w:type="dxa"/>
              <w:right w:w="100" w:type="dxa"/>
            </w:tcMar>
            <w:shd w:fill="FFFFFF"/>
          </w:tcPr>
          <w:p>
            <w:pPr>
              <w:widowControl/>
              <w:spacing w:after="0" w:line="278" w:lineRule="auto"/>
              <w:jc w:val="center"/>
            </w:pPr>
            <w:r>
              <w:rPr>
                <w:sz w:val="20"/>
              </w:rPr>
              <w:t>A02</w:t>
            </w:r>
          </w:p>
        </w:tc>
        <w:tc>
          <w:tcPr>
            <w:tcW w:type="dxa" w:w="2952"/>
            <w:vAlign w:val="center"/>
            <w:tcMar>
              <w:top w:w="85" w:type="dxa"/>
              <w:bottom w:w="85" w:type="dxa"/>
              <w:left w:w="100" w:type="dxa"/>
              <w:right w:w="100" w:type="dxa"/>
            </w:tcMar>
            <w:shd w:fill="FFFFFF"/>
          </w:tcPr>
          <w:p>
            <w:pPr>
              <w:widowControl/>
              <w:spacing w:after="0" w:line="278" w:lineRule="auto"/>
            </w:pPr>
            <w:r>
              <w:rPr>
                <w:sz w:val="20"/>
              </w:rPr>
              <w:t>四种双向匹配</w:t>
            </w:r>
          </w:p>
        </w:tc>
        <w:tc>
          <w:tcPr>
            <w:tcW w:type="dxa" w:w="6336"/>
            <w:vAlign w:val="center"/>
            <w:tcMar>
              <w:top w:w="85" w:type="dxa"/>
              <w:bottom w:w="85" w:type="dxa"/>
              <w:left w:w="100" w:type="dxa"/>
              <w:right w:w="100" w:type="dxa"/>
            </w:tcMar>
            <w:shd w:fill="FFFFFF"/>
          </w:tcPr>
          <w:p>
            <w:pPr>
              <w:widowControl/>
              <w:spacing w:after="0" w:line="278" w:lineRule="auto"/>
            </w:pPr>
            <w:r>
              <w:rPr>
                <w:sz w:val="20"/>
              </w:rPr>
              <w:t>接口级有测试，恶意用户能力需另外定义</w:t>
            </w:r>
          </w:p>
        </w:tc>
      </w:tr>
      <w:tr>
        <w:trPr>
          <w:cantSplit/>
        </w:trPr>
        <w:tc>
          <w:tcPr>
            <w:tcW w:type="dxa" w:w="792"/>
            <w:vAlign w:val="center"/>
            <w:tcMar>
              <w:top w:w="85" w:type="dxa"/>
              <w:bottom w:w="85" w:type="dxa"/>
              <w:left w:w="100" w:type="dxa"/>
              <w:right w:w="100" w:type="dxa"/>
            </w:tcMar>
            <w:shd w:fill="F2F5F8"/>
          </w:tcPr>
          <w:p>
            <w:pPr>
              <w:widowControl/>
              <w:spacing w:after="0" w:line="278" w:lineRule="auto"/>
              <w:jc w:val="center"/>
            </w:pPr>
            <w:r>
              <w:rPr>
                <w:sz w:val="20"/>
              </w:rPr>
              <w:t>A03</w:t>
            </w:r>
          </w:p>
        </w:tc>
        <w:tc>
          <w:tcPr>
            <w:tcW w:type="dxa" w:w="2952"/>
            <w:vAlign w:val="center"/>
            <w:tcMar>
              <w:top w:w="85" w:type="dxa"/>
              <w:bottom w:w="85" w:type="dxa"/>
              <w:left w:w="100" w:type="dxa"/>
              <w:right w:w="100" w:type="dxa"/>
            </w:tcMar>
            <w:shd w:fill="F2F5F8"/>
          </w:tcPr>
          <w:p>
            <w:pPr>
              <w:widowControl/>
              <w:spacing w:after="0" w:line="278" w:lineRule="auto"/>
            </w:pPr>
            <w:r>
              <w:rPr>
                <w:sz w:val="20"/>
              </w:rPr>
              <w:t>可切换组件</w:t>
            </w:r>
          </w:p>
        </w:tc>
        <w:tc>
          <w:tcPr>
            <w:tcW w:type="dxa" w:w="6336"/>
            <w:vAlign w:val="center"/>
            <w:tcMar>
              <w:top w:w="85" w:type="dxa"/>
              <w:bottom w:w="85" w:type="dxa"/>
              <w:left w:w="100" w:type="dxa"/>
              <w:right w:w="100" w:type="dxa"/>
            </w:tcMar>
            <w:shd w:fill="F2F5F8"/>
          </w:tcPr>
          <w:p>
            <w:pPr>
              <w:widowControl/>
              <w:spacing w:after="0" w:line="278" w:lineRule="auto"/>
            </w:pPr>
            <w:r>
              <w:rPr>
                <w:sz w:val="20"/>
              </w:rPr>
              <w:t>有抽象接口，真实组合与兼容性选择有限</w:t>
            </w:r>
          </w:p>
        </w:tc>
      </w:tr>
      <w:tr>
        <w:trPr>
          <w:cantSplit/>
        </w:trPr>
        <w:tc>
          <w:tcPr>
            <w:tcW w:type="dxa" w:w="792"/>
            <w:vAlign w:val="center"/>
            <w:tcMar>
              <w:top w:w="85" w:type="dxa"/>
              <w:bottom w:w="85" w:type="dxa"/>
              <w:left w:w="100" w:type="dxa"/>
              <w:right w:w="100" w:type="dxa"/>
            </w:tcMar>
            <w:shd w:fill="FFFFFF"/>
          </w:tcPr>
          <w:p>
            <w:pPr>
              <w:widowControl/>
              <w:spacing w:after="0" w:line="278" w:lineRule="auto"/>
              <w:jc w:val="center"/>
            </w:pPr>
            <w:r>
              <w:rPr>
                <w:sz w:val="20"/>
              </w:rPr>
              <w:t>A04</w:t>
            </w:r>
          </w:p>
        </w:tc>
        <w:tc>
          <w:tcPr>
            <w:tcW w:type="dxa" w:w="2952"/>
            <w:vAlign w:val="center"/>
            <w:tcMar>
              <w:top w:w="85" w:type="dxa"/>
              <w:bottom w:w="85" w:type="dxa"/>
              <w:left w:w="100" w:type="dxa"/>
              <w:right w:w="100" w:type="dxa"/>
            </w:tcMar>
            <w:shd w:fill="FFFFFF"/>
          </w:tcPr>
          <w:p>
            <w:pPr>
              <w:widowControl/>
              <w:spacing w:after="0" w:line="278" w:lineRule="auto"/>
            </w:pPr>
            <w:r>
              <w:rPr>
                <w:sz w:val="20"/>
              </w:rPr>
              <w:t>LWE/SIS 完整实例</w:t>
            </w:r>
          </w:p>
        </w:tc>
        <w:tc>
          <w:tcPr>
            <w:tcW w:type="dxa" w:w="6336"/>
            <w:vAlign w:val="center"/>
            <w:tcMar>
              <w:top w:w="85" w:type="dxa"/>
              <w:bottom w:w="85" w:type="dxa"/>
              <w:left w:w="100" w:type="dxa"/>
              <w:right w:w="100" w:type="dxa"/>
            </w:tcMar>
            <w:shd w:fill="FFFFFF"/>
          </w:tcPr>
          <w:p>
            <w:pPr>
              <w:widowControl/>
              <w:spacing w:after="0" w:line="278" w:lineRule="auto"/>
            </w:pPr>
            <w:r>
              <w:rPr>
                <w:sz w:val="20"/>
              </w:rPr>
              <w:t>有教学实例，安全意义的完整实例未完成</w:t>
            </w:r>
          </w:p>
        </w:tc>
      </w:tr>
      <w:tr>
        <w:trPr>
          <w:cantSplit/>
        </w:trPr>
        <w:tc>
          <w:tcPr>
            <w:tcW w:type="dxa" w:w="792"/>
            <w:vAlign w:val="center"/>
            <w:tcMar>
              <w:top w:w="85" w:type="dxa"/>
              <w:bottom w:w="85" w:type="dxa"/>
              <w:left w:w="100" w:type="dxa"/>
              <w:right w:w="100" w:type="dxa"/>
            </w:tcMar>
            <w:shd w:fill="F2F5F8"/>
          </w:tcPr>
          <w:p>
            <w:pPr>
              <w:widowControl/>
              <w:spacing w:after="0" w:line="278" w:lineRule="auto"/>
              <w:jc w:val="center"/>
            </w:pPr>
            <w:r>
              <w:rPr>
                <w:sz w:val="20"/>
              </w:rPr>
              <w:t>A05</w:t>
            </w:r>
          </w:p>
        </w:tc>
        <w:tc>
          <w:tcPr>
            <w:tcW w:type="dxa" w:w="2952"/>
            <w:vAlign w:val="center"/>
            <w:tcMar>
              <w:top w:w="85" w:type="dxa"/>
              <w:bottom w:w="85" w:type="dxa"/>
              <w:left w:w="100" w:type="dxa"/>
              <w:right w:w="100" w:type="dxa"/>
            </w:tcMar>
            <w:shd w:fill="F2F5F8"/>
          </w:tcPr>
          <w:p>
            <w:pPr>
              <w:widowControl/>
              <w:spacing w:after="0" w:line="278" w:lineRule="auto"/>
            </w:pPr>
            <w:r>
              <w:rPr>
                <w:sz w:val="20"/>
              </w:rPr>
              <w:t>其它假设扩展</w:t>
            </w:r>
          </w:p>
        </w:tc>
        <w:tc>
          <w:tcPr>
            <w:tcW w:type="dxa" w:w="6336"/>
            <w:vAlign w:val="center"/>
            <w:tcMar>
              <w:top w:w="85" w:type="dxa"/>
              <w:bottom w:w="85" w:type="dxa"/>
              <w:left w:w="100" w:type="dxa"/>
              <w:right w:w="100" w:type="dxa"/>
            </w:tcMar>
            <w:shd w:fill="F2F5F8"/>
          </w:tcPr>
          <w:p>
            <w:pPr>
              <w:widowControl/>
              <w:spacing w:after="0" w:line="278" w:lineRule="auto"/>
            </w:pPr>
            <w:r>
              <w:rPr>
                <w:sz w:val="20"/>
              </w:rPr>
              <w:t>接口预留，环格和模格实例未实现</w:t>
            </w:r>
          </w:p>
        </w:tc>
      </w:tr>
      <w:tr>
        <w:trPr>
          <w:cantSplit/>
        </w:trPr>
        <w:tc>
          <w:tcPr>
            <w:tcW w:type="dxa" w:w="792"/>
            <w:vAlign w:val="center"/>
            <w:tcMar>
              <w:top w:w="85" w:type="dxa"/>
              <w:bottom w:w="85" w:type="dxa"/>
              <w:left w:w="100" w:type="dxa"/>
              <w:right w:w="100" w:type="dxa"/>
            </w:tcMar>
            <w:shd w:fill="FFFFFF"/>
          </w:tcPr>
          <w:p>
            <w:pPr>
              <w:widowControl/>
              <w:spacing w:after="0" w:line="278" w:lineRule="auto"/>
              <w:jc w:val="center"/>
            </w:pPr>
            <w:r>
              <w:rPr>
                <w:sz w:val="20"/>
              </w:rPr>
              <w:t>A06</w:t>
            </w:r>
          </w:p>
        </w:tc>
        <w:tc>
          <w:tcPr>
            <w:tcW w:type="dxa" w:w="2952"/>
            <w:vAlign w:val="center"/>
            <w:tcMar>
              <w:top w:w="85" w:type="dxa"/>
              <w:bottom w:w="85" w:type="dxa"/>
              <w:left w:w="100" w:type="dxa"/>
              <w:right w:w="100" w:type="dxa"/>
            </w:tcMar>
            <w:shd w:fill="FFFFFF"/>
          </w:tcPr>
          <w:p>
            <w:pPr>
              <w:widowControl/>
              <w:spacing w:after="0" w:line="278" w:lineRule="auto"/>
            </w:pPr>
            <w:r>
              <w:rPr>
                <w:sz w:val="20"/>
              </w:rPr>
              <w:t>消息隐私</w:t>
            </w:r>
          </w:p>
        </w:tc>
        <w:tc>
          <w:tcPr>
            <w:tcW w:type="dxa" w:w="6336"/>
            <w:vAlign w:val="center"/>
            <w:tcMar>
              <w:top w:w="85" w:type="dxa"/>
              <w:bottom w:w="85" w:type="dxa"/>
              <w:left w:w="100" w:type="dxa"/>
              <w:right w:w="100" w:type="dxa"/>
            </w:tcMar>
            <w:shd w:fill="FFFFFF"/>
          </w:tcPr>
          <w:p>
            <w:pPr>
              <w:widowControl/>
              <w:spacing w:after="0" w:line="278" w:lineRule="auto"/>
            </w:pPr>
            <w:r>
              <w:rPr>
                <w:sz w:val="20"/>
              </w:rPr>
              <w:t>证明映射和参数不足，不能宣称已满足</w:t>
            </w:r>
          </w:p>
        </w:tc>
      </w:tr>
      <w:tr>
        <w:trPr>
          <w:cantSplit/>
        </w:trPr>
        <w:tc>
          <w:tcPr>
            <w:tcW w:type="dxa" w:w="792"/>
            <w:vAlign w:val="center"/>
            <w:tcMar>
              <w:top w:w="85" w:type="dxa"/>
              <w:bottom w:w="85" w:type="dxa"/>
              <w:left w:w="100" w:type="dxa"/>
              <w:right w:w="100" w:type="dxa"/>
            </w:tcMar>
            <w:shd w:fill="F2F5F8"/>
          </w:tcPr>
          <w:p>
            <w:pPr>
              <w:widowControl/>
              <w:spacing w:after="0" w:line="278" w:lineRule="auto"/>
              <w:jc w:val="center"/>
            </w:pPr>
            <w:r>
              <w:rPr>
                <w:sz w:val="20"/>
              </w:rPr>
              <w:t>A07</w:t>
            </w:r>
          </w:p>
        </w:tc>
        <w:tc>
          <w:tcPr>
            <w:tcW w:type="dxa" w:w="2952"/>
            <w:vAlign w:val="center"/>
            <w:tcMar>
              <w:top w:w="85" w:type="dxa"/>
              <w:bottom w:w="85" w:type="dxa"/>
              <w:left w:w="100" w:type="dxa"/>
              <w:right w:w="100" w:type="dxa"/>
            </w:tcMar>
            <w:shd w:fill="F2F5F8"/>
          </w:tcPr>
          <w:p>
            <w:pPr>
              <w:widowControl/>
              <w:spacing w:after="0" w:line="278" w:lineRule="auto"/>
            </w:pPr>
            <w:r>
              <w:rPr>
                <w:sz w:val="20"/>
              </w:rPr>
              <w:t>认证与自我伪造</w:t>
            </w:r>
          </w:p>
        </w:tc>
        <w:tc>
          <w:tcPr>
            <w:tcW w:type="dxa" w:w="6336"/>
            <w:vAlign w:val="center"/>
            <w:tcMar>
              <w:top w:w="85" w:type="dxa"/>
              <w:bottom w:w="85" w:type="dxa"/>
              <w:left w:w="100" w:type="dxa"/>
              <w:right w:w="100" w:type="dxa"/>
            </w:tcMar>
            <w:shd w:fill="F2F5F8"/>
          </w:tcPr>
          <w:p>
            <w:pPr>
              <w:widowControl/>
              <w:spacing w:after="0" w:line="278" w:lineRule="auto"/>
            </w:pPr>
            <w:r>
              <w:rPr>
                <w:sz w:val="20"/>
              </w:rPr>
              <w:t>公共参数伪造已复现，关键缺口</w:t>
            </w:r>
          </w:p>
        </w:tc>
      </w:tr>
      <w:tr>
        <w:trPr>
          <w:cantSplit/>
        </w:trPr>
        <w:tc>
          <w:tcPr>
            <w:tcW w:type="dxa" w:w="792"/>
            <w:vAlign w:val="center"/>
            <w:tcMar>
              <w:top w:w="85" w:type="dxa"/>
              <w:bottom w:w="85" w:type="dxa"/>
              <w:left w:w="100" w:type="dxa"/>
              <w:right w:w="100" w:type="dxa"/>
            </w:tcMar>
            <w:shd w:fill="FFFFFF"/>
          </w:tcPr>
          <w:p>
            <w:pPr>
              <w:widowControl/>
              <w:spacing w:after="0" w:line="278" w:lineRule="auto"/>
              <w:jc w:val="center"/>
            </w:pPr>
            <w:r>
              <w:rPr>
                <w:sz w:val="20"/>
              </w:rPr>
              <w:t>A08</w:t>
            </w:r>
          </w:p>
        </w:tc>
        <w:tc>
          <w:tcPr>
            <w:tcW w:type="dxa" w:w="2952"/>
            <w:vAlign w:val="center"/>
            <w:tcMar>
              <w:top w:w="85" w:type="dxa"/>
              <w:bottom w:w="85" w:type="dxa"/>
              <w:left w:w="100" w:type="dxa"/>
              <w:right w:w="100" w:type="dxa"/>
            </w:tcMar>
            <w:shd w:fill="FFFFFF"/>
          </w:tcPr>
          <w:p>
            <w:pPr>
              <w:widowControl/>
              <w:spacing w:after="0" w:line="278" w:lineRule="auto"/>
            </w:pPr>
            <w:r>
              <w:rPr>
                <w:sz w:val="20"/>
              </w:rPr>
              <w:t>非法输入与篡改拒绝</w:t>
            </w:r>
          </w:p>
        </w:tc>
        <w:tc>
          <w:tcPr>
            <w:tcW w:type="dxa" w:w="6336"/>
            <w:vAlign w:val="center"/>
            <w:tcMar>
              <w:top w:w="85" w:type="dxa"/>
              <w:bottom w:w="85" w:type="dxa"/>
              <w:left w:w="100" w:type="dxa"/>
              <w:right w:w="100" w:type="dxa"/>
            </w:tcMar>
            <w:shd w:fill="FFFFFF"/>
          </w:tcPr>
          <w:p>
            <w:pPr>
              <w:widowControl/>
              <w:spacing w:after="0" w:line="278" w:lineRule="auto"/>
            </w:pPr>
            <w:r>
              <w:rPr>
                <w:sz w:val="20"/>
              </w:rPr>
              <w:t>有解析测试，一字节篡改接受反例已复现</w:t>
            </w:r>
          </w:p>
        </w:tc>
      </w:tr>
      <w:tr>
        <w:trPr>
          <w:cantSplit/>
        </w:trPr>
        <w:tc>
          <w:tcPr>
            <w:tcW w:type="dxa" w:w="792"/>
            <w:vAlign w:val="center"/>
            <w:tcMar>
              <w:top w:w="85" w:type="dxa"/>
              <w:bottom w:w="85" w:type="dxa"/>
              <w:left w:w="100" w:type="dxa"/>
              <w:right w:w="100" w:type="dxa"/>
            </w:tcMar>
            <w:shd w:fill="F2F5F8"/>
          </w:tcPr>
          <w:p>
            <w:pPr>
              <w:widowControl/>
              <w:spacing w:after="0" w:line="278" w:lineRule="auto"/>
              <w:jc w:val="center"/>
            </w:pPr>
            <w:r>
              <w:rPr>
                <w:sz w:val="20"/>
              </w:rPr>
              <w:t>A09</w:t>
            </w:r>
          </w:p>
        </w:tc>
        <w:tc>
          <w:tcPr>
            <w:tcW w:type="dxa" w:w="2952"/>
            <w:vAlign w:val="center"/>
            <w:tcMar>
              <w:top w:w="85" w:type="dxa"/>
              <w:bottom w:w="85" w:type="dxa"/>
              <w:left w:w="100" w:type="dxa"/>
              <w:right w:w="100" w:type="dxa"/>
            </w:tcMar>
            <w:shd w:fill="F2F5F8"/>
          </w:tcPr>
          <w:p>
            <w:pPr>
              <w:widowControl/>
              <w:spacing w:after="0" w:line="278" w:lineRule="auto"/>
            </w:pPr>
            <w:r>
              <w:rPr>
                <w:sz w:val="20"/>
              </w:rPr>
              <w:t>批量正确性与稳定性</w:t>
            </w:r>
          </w:p>
        </w:tc>
        <w:tc>
          <w:tcPr>
            <w:tcW w:type="dxa" w:w="6336"/>
            <w:vAlign w:val="center"/>
            <w:tcMar>
              <w:top w:w="85" w:type="dxa"/>
              <w:bottom w:w="85" w:type="dxa"/>
              <w:left w:w="100" w:type="dxa"/>
              <w:right w:w="100" w:type="dxa"/>
            </w:tcMar>
            <w:shd w:fill="F2F5F8"/>
          </w:tcPr>
          <w:p>
            <w:pPr>
              <w:widowControl/>
              <w:spacing w:after="0" w:line="278" w:lineRule="auto"/>
            </w:pPr>
            <w:r>
              <w:rPr>
                <w:sz w:val="20"/>
              </w:rPr>
              <w:t>有测试套件，统一随机批量记录尚不完整</w:t>
            </w:r>
          </w:p>
        </w:tc>
      </w:tr>
      <w:tr>
        <w:trPr>
          <w:cantSplit/>
        </w:trPr>
        <w:tc>
          <w:tcPr>
            <w:tcW w:type="dxa" w:w="792"/>
            <w:vAlign w:val="center"/>
            <w:tcMar>
              <w:top w:w="85" w:type="dxa"/>
              <w:bottom w:w="85" w:type="dxa"/>
              <w:left w:w="100" w:type="dxa"/>
              <w:right w:w="100" w:type="dxa"/>
            </w:tcMar>
            <w:shd w:fill="FFFFFF"/>
          </w:tcPr>
          <w:p>
            <w:pPr>
              <w:widowControl/>
              <w:spacing w:after="0" w:line="278" w:lineRule="auto"/>
              <w:jc w:val="center"/>
            </w:pPr>
            <w:r>
              <w:rPr>
                <w:sz w:val="20"/>
              </w:rPr>
              <w:t>A10</w:t>
            </w:r>
          </w:p>
        </w:tc>
        <w:tc>
          <w:tcPr>
            <w:tcW w:type="dxa" w:w="2952"/>
            <w:vAlign w:val="center"/>
            <w:tcMar>
              <w:top w:w="85" w:type="dxa"/>
              <w:bottom w:w="85" w:type="dxa"/>
              <w:left w:w="100" w:type="dxa"/>
              <w:right w:w="100" w:type="dxa"/>
            </w:tcMar>
            <w:shd w:fill="FFFFFF"/>
          </w:tcPr>
          <w:p>
            <w:pPr>
              <w:widowControl/>
              <w:spacing w:after="0" w:line="278" w:lineRule="auto"/>
            </w:pPr>
            <w:r>
              <w:rPr>
                <w:sz w:val="20"/>
              </w:rPr>
              <w:t>统一配置与全部功能</w:t>
            </w:r>
          </w:p>
        </w:tc>
        <w:tc>
          <w:tcPr>
            <w:tcW w:type="dxa" w:w="6336"/>
            <w:vAlign w:val="center"/>
            <w:tcMar>
              <w:top w:w="85" w:type="dxa"/>
              <w:bottom w:w="85" w:type="dxa"/>
              <w:left w:w="100" w:type="dxa"/>
              <w:right w:w="100" w:type="dxa"/>
            </w:tcMar>
            <w:shd w:fill="FFFFFF"/>
          </w:tcPr>
          <w:p>
            <w:pPr>
              <w:widowControl/>
              <w:spacing w:after="0" w:line="278" w:lineRule="auto"/>
            </w:pPr>
            <w:r>
              <w:rPr>
                <w:sz w:val="20"/>
              </w:rPr>
              <w:t>主要流程有基础，配置与真实实例切换需重建</w:t>
            </w:r>
          </w:p>
        </w:tc>
      </w:tr>
      <w:tr>
        <w:trPr>
          <w:cantSplit/>
        </w:trPr>
        <w:tc>
          <w:tcPr>
            <w:tcW w:type="dxa" w:w="792"/>
            <w:vAlign w:val="center"/>
            <w:tcMar>
              <w:top w:w="85" w:type="dxa"/>
              <w:bottom w:w="85" w:type="dxa"/>
              <w:left w:w="100" w:type="dxa"/>
              <w:right w:w="100" w:type="dxa"/>
            </w:tcMar>
            <w:shd w:fill="F2F5F8"/>
          </w:tcPr>
          <w:p>
            <w:pPr>
              <w:widowControl/>
              <w:spacing w:after="0" w:line="278" w:lineRule="auto"/>
              <w:jc w:val="center"/>
            </w:pPr>
            <w:r>
              <w:rPr>
                <w:sz w:val="20"/>
              </w:rPr>
              <w:t>A11</w:t>
            </w:r>
          </w:p>
        </w:tc>
        <w:tc>
          <w:tcPr>
            <w:tcW w:type="dxa" w:w="2952"/>
            <w:vAlign w:val="center"/>
            <w:tcMar>
              <w:top w:w="85" w:type="dxa"/>
              <w:bottom w:w="85" w:type="dxa"/>
              <w:left w:w="100" w:type="dxa"/>
              <w:right w:w="100" w:type="dxa"/>
            </w:tcMar>
            <w:shd w:fill="F2F5F8"/>
          </w:tcPr>
          <w:p>
            <w:pPr>
              <w:widowControl/>
              <w:spacing w:after="0" w:line="278" w:lineRule="auto"/>
            </w:pPr>
            <w:r>
              <w:rPr>
                <w:sz w:val="20"/>
              </w:rPr>
              <w:t>多参数多实例尺寸</w:t>
            </w:r>
          </w:p>
        </w:tc>
        <w:tc>
          <w:tcPr>
            <w:tcW w:type="dxa" w:w="6336"/>
            <w:vAlign w:val="center"/>
            <w:tcMar>
              <w:top w:w="85" w:type="dxa"/>
              <w:bottom w:w="85" w:type="dxa"/>
              <w:left w:w="100" w:type="dxa"/>
              <w:right w:w="100" w:type="dxa"/>
            </w:tcMar>
            <w:shd w:fill="F2F5F8"/>
          </w:tcPr>
          <w:p>
            <w:pPr>
              <w:widowControl/>
              <w:spacing w:after="0" w:line="278" w:lineRule="auto"/>
            </w:pPr>
            <w:r>
              <w:rPr>
                <w:sz w:val="20"/>
              </w:rPr>
              <w:t>只有教学组合历史结果，未达到完整对比</w:t>
            </w:r>
          </w:p>
        </w:tc>
      </w:tr>
      <w:tr>
        <w:trPr>
          <w:cantSplit/>
        </w:trPr>
        <w:tc>
          <w:tcPr>
            <w:tcW w:type="dxa" w:w="792"/>
            <w:vAlign w:val="center"/>
            <w:tcMar>
              <w:top w:w="85" w:type="dxa"/>
              <w:bottom w:w="85" w:type="dxa"/>
              <w:left w:w="100" w:type="dxa"/>
              <w:right w:w="100" w:type="dxa"/>
            </w:tcMar>
            <w:shd w:fill="FFFFFF"/>
          </w:tcPr>
          <w:p>
            <w:pPr>
              <w:widowControl/>
              <w:spacing w:after="0" w:line="278" w:lineRule="auto"/>
              <w:jc w:val="center"/>
            </w:pPr>
            <w:r>
              <w:rPr>
                <w:sz w:val="20"/>
              </w:rPr>
              <w:t>A12</w:t>
            </w:r>
          </w:p>
        </w:tc>
        <w:tc>
          <w:tcPr>
            <w:tcW w:type="dxa" w:w="2952"/>
            <w:vAlign w:val="center"/>
            <w:tcMar>
              <w:top w:w="85" w:type="dxa"/>
              <w:bottom w:w="85" w:type="dxa"/>
              <w:left w:w="100" w:type="dxa"/>
              <w:right w:w="100" w:type="dxa"/>
            </w:tcMar>
            <w:shd w:fill="FFFFFF"/>
          </w:tcPr>
          <w:p>
            <w:pPr>
              <w:widowControl/>
              <w:spacing w:after="0" w:line="278" w:lineRule="auto"/>
            </w:pPr>
            <w:r>
              <w:rPr>
                <w:sz w:val="20"/>
              </w:rPr>
              <w:t>时间和内存</w:t>
            </w:r>
          </w:p>
        </w:tc>
        <w:tc>
          <w:tcPr>
            <w:tcW w:type="dxa" w:w="6336"/>
            <w:vAlign w:val="center"/>
            <w:tcMar>
              <w:top w:w="85" w:type="dxa"/>
              <w:bottom w:w="85" w:type="dxa"/>
              <w:left w:w="100" w:type="dxa"/>
              <w:right w:w="100" w:type="dxa"/>
            </w:tcMar>
            <w:shd w:fill="FFFFFF"/>
          </w:tcPr>
          <w:p>
            <w:pPr>
              <w:widowControl/>
              <w:spacing w:after="0" w:line="278" w:lineRule="auto"/>
            </w:pPr>
            <w:r>
              <w:rPr>
                <w:sz w:val="20"/>
              </w:rPr>
              <w:t>有历史时间，峰值内存及公平比较不足</w:t>
            </w:r>
          </w:p>
        </w:tc>
      </w:tr>
      <w:tr>
        <w:trPr>
          <w:cantSplit/>
        </w:trPr>
        <w:tc>
          <w:tcPr>
            <w:tcW w:type="dxa" w:w="792"/>
            <w:vAlign w:val="center"/>
            <w:tcMar>
              <w:top w:w="85" w:type="dxa"/>
              <w:bottom w:w="85" w:type="dxa"/>
              <w:left w:w="100" w:type="dxa"/>
              <w:right w:w="100" w:type="dxa"/>
            </w:tcMar>
            <w:shd w:fill="F2F5F8"/>
          </w:tcPr>
          <w:p>
            <w:pPr>
              <w:widowControl/>
              <w:spacing w:after="0" w:line="278" w:lineRule="auto"/>
              <w:jc w:val="center"/>
            </w:pPr>
            <w:r>
              <w:rPr>
                <w:sz w:val="20"/>
              </w:rPr>
              <w:t>A13</w:t>
            </w:r>
          </w:p>
        </w:tc>
        <w:tc>
          <w:tcPr>
            <w:tcW w:type="dxa" w:w="2952"/>
            <w:vAlign w:val="center"/>
            <w:tcMar>
              <w:top w:w="85" w:type="dxa"/>
              <w:bottom w:w="85" w:type="dxa"/>
              <w:left w:w="100" w:type="dxa"/>
              <w:right w:w="100" w:type="dxa"/>
            </w:tcMar>
            <w:shd w:fill="F2F5F8"/>
          </w:tcPr>
          <w:p>
            <w:pPr>
              <w:widowControl/>
              <w:spacing w:after="0" w:line="278" w:lineRule="auto"/>
            </w:pPr>
            <w:r>
              <w:rPr>
                <w:sz w:val="20"/>
              </w:rPr>
              <w:t>可视化或表格对比</w:t>
            </w:r>
          </w:p>
        </w:tc>
        <w:tc>
          <w:tcPr>
            <w:tcW w:type="dxa" w:w="6336"/>
            <w:vAlign w:val="center"/>
            <w:tcMar>
              <w:top w:w="85" w:type="dxa"/>
              <w:bottom w:w="85" w:type="dxa"/>
              <w:left w:w="100" w:type="dxa"/>
              <w:right w:w="100" w:type="dxa"/>
            </w:tcMar>
            <w:shd w:fill="F2F5F8"/>
          </w:tcPr>
          <w:p>
            <w:pPr>
              <w:widowControl/>
              <w:spacing w:after="0" w:line="278" w:lineRule="auto"/>
            </w:pPr>
            <w:r>
              <w:rPr>
                <w:sz w:val="20"/>
              </w:rPr>
              <w:t>有历史单实例表，跨实例比较未完成</w:t>
            </w:r>
          </w:p>
        </w:tc>
      </w:tr>
      <w:tr>
        <w:trPr>
          <w:cantSplit/>
        </w:trPr>
        <w:tc>
          <w:tcPr>
            <w:tcW w:type="dxa" w:w="792"/>
            <w:vAlign w:val="center"/>
            <w:tcMar>
              <w:top w:w="85" w:type="dxa"/>
              <w:bottom w:w="85" w:type="dxa"/>
              <w:left w:w="100" w:type="dxa"/>
              <w:right w:w="100" w:type="dxa"/>
            </w:tcMar>
            <w:shd w:fill="FFFFFF"/>
          </w:tcPr>
          <w:p>
            <w:pPr>
              <w:widowControl/>
              <w:spacing w:after="0" w:line="278" w:lineRule="auto"/>
              <w:jc w:val="center"/>
            </w:pPr>
            <w:r>
              <w:rPr>
                <w:sz w:val="20"/>
              </w:rPr>
              <w:t>A14</w:t>
            </w:r>
          </w:p>
        </w:tc>
        <w:tc>
          <w:tcPr>
            <w:tcW w:type="dxa" w:w="2952"/>
            <w:vAlign w:val="center"/>
            <w:tcMar>
              <w:top w:w="85" w:type="dxa"/>
              <w:bottom w:w="85" w:type="dxa"/>
              <w:left w:w="100" w:type="dxa"/>
              <w:right w:w="100" w:type="dxa"/>
            </w:tcMar>
            <w:shd w:fill="FFFFFF"/>
          </w:tcPr>
          <w:p>
            <w:pPr>
              <w:widowControl/>
              <w:spacing w:after="0" w:line="278" w:lineRule="auto"/>
            </w:pPr>
            <w:r>
              <w:rPr>
                <w:sz w:val="20"/>
              </w:rPr>
              <w:t>优化及安全保持</w:t>
            </w:r>
          </w:p>
        </w:tc>
        <w:tc>
          <w:tcPr>
            <w:tcW w:type="dxa" w:w="6336"/>
            <w:vAlign w:val="center"/>
            <w:tcMar>
              <w:top w:w="85" w:type="dxa"/>
              <w:bottom w:w="85" w:type="dxa"/>
              <w:left w:w="100" w:type="dxa"/>
              <w:right w:w="100" w:type="dxa"/>
            </w:tcMar>
            <w:shd w:fill="FFFFFF"/>
          </w:tcPr>
          <w:p>
            <w:pPr>
              <w:widowControl/>
              <w:spacing w:after="0" w:line="278" w:lineRule="auto"/>
            </w:pPr>
            <w:r>
              <w:rPr>
                <w:sz w:val="20"/>
              </w:rPr>
              <w:t>已有工程修复，无完整安全优化证据链</w:t>
            </w:r>
          </w:p>
        </w:tc>
      </w:tr>
      <w:tr>
        <w:trPr>
          <w:cantSplit/>
        </w:trPr>
        <w:tc>
          <w:tcPr>
            <w:tcW w:type="dxa" w:w="792"/>
            <w:vAlign w:val="center"/>
            <w:tcMar>
              <w:top w:w="85" w:type="dxa"/>
              <w:bottom w:w="85" w:type="dxa"/>
              <w:left w:w="100" w:type="dxa"/>
              <w:right w:w="100" w:type="dxa"/>
            </w:tcMar>
            <w:shd w:fill="F2F5F8"/>
          </w:tcPr>
          <w:p>
            <w:pPr>
              <w:widowControl/>
              <w:spacing w:after="0" w:line="278" w:lineRule="auto"/>
              <w:jc w:val="center"/>
            </w:pPr>
            <w:r>
              <w:rPr>
                <w:sz w:val="20"/>
              </w:rPr>
              <w:t>A15</w:t>
            </w:r>
          </w:p>
        </w:tc>
        <w:tc>
          <w:tcPr>
            <w:tcW w:type="dxa" w:w="2952"/>
            <w:vAlign w:val="center"/>
            <w:tcMar>
              <w:top w:w="85" w:type="dxa"/>
              <w:bottom w:w="85" w:type="dxa"/>
              <w:left w:w="100" w:type="dxa"/>
              <w:right w:w="100" w:type="dxa"/>
            </w:tcMar>
            <w:shd w:fill="F2F5F8"/>
          </w:tcPr>
          <w:p>
            <w:pPr>
              <w:widowControl/>
              <w:spacing w:after="0" w:line="278" w:lineRule="auto"/>
            </w:pPr>
            <w:r>
              <w:rPr>
                <w:sz w:val="20"/>
              </w:rPr>
              <w:t>通用计算机运行</w:t>
            </w:r>
          </w:p>
        </w:tc>
        <w:tc>
          <w:tcPr>
            <w:tcW w:type="dxa" w:w="6336"/>
            <w:vAlign w:val="center"/>
            <w:tcMar>
              <w:top w:w="85" w:type="dxa"/>
              <w:bottom w:w="85" w:type="dxa"/>
              <w:left w:w="100" w:type="dxa"/>
              <w:right w:w="100" w:type="dxa"/>
            </w:tcMar>
            <w:shd w:fill="F2F5F8"/>
          </w:tcPr>
          <w:p>
            <w:pPr>
              <w:widowControl/>
              <w:spacing w:after="0" w:line="278" w:lineRule="auto"/>
            </w:pPr>
            <w:r>
              <w:rPr>
                <w:sz w:val="20"/>
              </w:rPr>
              <w:t>本机全套测试完成，干净环境交付需补</w:t>
            </w:r>
          </w:p>
        </w:tc>
      </w:tr>
    </w:tbl>
    <w:p>
      <w:pPr>
        <w:spacing w:after="60" w:before="0" w:line="120" w:lineRule="auto"/>
      </w:pPr>
      <w:r>
        <w:rPr>
          <w:sz w:val="4"/>
        </w:rPr>
      </w:r>
    </w:p>
    <w:p>
      <w:pPr>
        <w:pStyle w:val="Heading1"/>
      </w:pPr>
      <w:r>
        <w:t>8 为什么需要重新调研通用 IBME 构造</w:t>
      </w:r>
    </w:p>
    <w:p>
      <w:pPr>
        <w:pStyle w:val="Heading2"/>
      </w:pPr>
      <w:r>
        <w:t>8.1 调研应先回答安全能力问题</w:t>
      </w:r>
    </w:p>
    <w:p>
      <w:r>
        <w:t>选型顺序应从目标出发：我们需要的隐私和认证游戏是什么；它要求哪些原语性质；有哪些论文确实证明这些性质；能否给出实际参数和正确采样；最后才比较速度和尺寸。不能先选一个实现快的加密或签名，再假定它满足全部前提。</w:t>
      </w:r>
    </w:p>
    <w:p>
      <w:r>
        <w:t>必须区分以下概念：消息机密性；密文是否隐藏接收者身份；密文是否隐藏发送者身份；错误发送者条件下，持有正确接收者密钥的恶意用户是否仍能获知消息；外部伪造与合法接收者自我伪造；是否允许解密查询；是否支持身份和消息自适应选择；同一用户密钥是否被重复使用。</w:t>
      </w:r>
    </w:p>
    <w:p>
      <w:r>
        <w:t>增强隐私是比“API 验签失败返回失败”更强的要求。恶意接收者控制自己设备，可以检查验签前的中间消息，或重写客户端。因此，把解密结果藏在正常客户端界面上并不构成增强隐私证明。</w:t>
      </w:r>
    </w:p>
    <w:p>
      <w:pPr>
        <w:pStyle w:val="Heading2"/>
      </w:pPr>
      <w:r>
        <w:t>8.2 应纳入比较的完整 IBME 路线</w:t>
      </w:r>
    </w:p>
    <w:p>
      <w:r>
        <w:t>表中“原文相关部分”表示已经取得原文并读取构造或相应章节，仍不意味着全部证明逐行核验；“摘要”表示只核验了原始出版社摘要和元数据。</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520"/>
        <w:gridCol w:w="1728"/>
        <w:gridCol w:w="2880"/>
        <w:gridCol w:w="2952"/>
      </w:tblGrid>
      <w:tr>
        <w:trPr>
          <w:cantSplit/>
          <w:tblHeader w:val="true"/>
        </w:trPr>
        <w:tc>
          <w:tcPr>
            <w:tcW w:type="dxa" w:w="2520"/>
            <w:vAlign w:val="center"/>
            <w:tcMar>
              <w:top w:w="85" w:type="dxa"/>
              <w:bottom w:w="85" w:type="dxa"/>
              <w:left w:w="100" w:type="dxa"/>
              <w:right w:w="100" w:type="dxa"/>
            </w:tcMar>
            <w:shd w:fill="17365D"/>
          </w:tcPr>
          <w:p>
            <w:pPr>
              <w:widowControl/>
              <w:spacing w:after="0" w:line="278" w:lineRule="auto"/>
              <w:jc w:val="center"/>
            </w:pPr>
            <w:r>
              <w:rPr>
                <w:b/>
                <w:color w:val="FFFFFF"/>
                <w:sz w:val="20"/>
              </w:rPr>
              <w:t>路线及文献</w:t>
            </w:r>
          </w:p>
        </w:tc>
        <w:tc>
          <w:tcPr>
            <w:tcW w:type="dxa" w:w="1728"/>
            <w:vAlign w:val="center"/>
            <w:tcMar>
              <w:top w:w="85" w:type="dxa"/>
              <w:bottom w:w="85" w:type="dxa"/>
              <w:left w:w="100" w:type="dxa"/>
              <w:right w:w="100" w:type="dxa"/>
            </w:tcMar>
            <w:shd w:fill="17365D"/>
          </w:tcPr>
          <w:p>
            <w:pPr>
              <w:widowControl/>
              <w:spacing w:after="0" w:line="278" w:lineRule="auto"/>
              <w:jc w:val="center"/>
            </w:pPr>
            <w:r>
              <w:rPr>
                <w:b/>
                <w:color w:val="FFFFFF"/>
                <w:sz w:val="20"/>
              </w:rPr>
              <w:t>调研深度</w:t>
            </w:r>
          </w:p>
        </w:tc>
        <w:tc>
          <w:tcPr>
            <w:tcW w:type="dxa" w:w="2880"/>
            <w:vAlign w:val="center"/>
            <w:tcMar>
              <w:top w:w="85" w:type="dxa"/>
              <w:bottom w:w="85" w:type="dxa"/>
              <w:left w:w="100" w:type="dxa"/>
              <w:right w:w="100" w:type="dxa"/>
            </w:tcMar>
            <w:shd w:fill="17365D"/>
          </w:tcPr>
          <w:p>
            <w:pPr>
              <w:widowControl/>
              <w:spacing w:after="0" w:line="278" w:lineRule="auto"/>
              <w:jc w:val="center"/>
            </w:pPr>
            <w:r>
              <w:rPr>
                <w:b/>
                <w:color w:val="FFFFFF"/>
                <w:sz w:val="20"/>
              </w:rPr>
              <w:t>主要研究价值</w:t>
            </w:r>
          </w:p>
        </w:tc>
        <w:tc>
          <w:tcPr>
            <w:tcW w:type="dxa" w:w="2952"/>
            <w:vAlign w:val="center"/>
            <w:tcMar>
              <w:top w:w="85" w:type="dxa"/>
              <w:bottom w:w="85" w:type="dxa"/>
              <w:left w:w="100" w:type="dxa"/>
              <w:right w:w="100" w:type="dxa"/>
            </w:tcMar>
            <w:shd w:fill="17365D"/>
          </w:tcPr>
          <w:p>
            <w:pPr>
              <w:widowControl/>
              <w:spacing w:after="0" w:line="278" w:lineRule="auto"/>
              <w:jc w:val="center"/>
            </w:pPr>
            <w:r>
              <w:rPr>
                <w:b/>
                <w:color w:val="FFFFFF"/>
                <w:sz w:val="20"/>
              </w:rPr>
              <w:t>选型关口</w:t>
            </w:r>
          </w:p>
        </w:tc>
      </w:tr>
      <w:tr>
        <w:trPr>
          <w:cantSplit/>
        </w:trPr>
        <w:tc>
          <w:tcPr>
            <w:tcW w:type="dxa" w:w="2520"/>
            <w:vAlign w:val="center"/>
            <w:tcMar>
              <w:top w:w="85" w:type="dxa"/>
              <w:bottom w:w="85" w:type="dxa"/>
              <w:left w:w="100" w:type="dxa"/>
              <w:right w:w="100" w:type="dxa"/>
            </w:tcMar>
            <w:shd w:fill="F2F5F8"/>
          </w:tcPr>
          <w:p>
            <w:pPr>
              <w:widowControl/>
              <w:spacing w:after="0" w:line="278" w:lineRule="auto"/>
            </w:pPr>
            <w:r>
              <w:rPr>
                <w:sz w:val="20"/>
              </w:rPr>
              <w:t>Wang 等 HIBE 加 IBS [S1]</w:t>
            </w:r>
          </w:p>
        </w:tc>
        <w:tc>
          <w:tcPr>
            <w:tcW w:type="dxa" w:w="1728"/>
            <w:vAlign w:val="center"/>
            <w:tcMar>
              <w:top w:w="85" w:type="dxa"/>
              <w:bottom w:w="85" w:type="dxa"/>
              <w:left w:w="100" w:type="dxa"/>
              <w:right w:w="100" w:type="dxa"/>
            </w:tcMar>
            <w:shd w:fill="F2F5F8"/>
          </w:tcPr>
          <w:p>
            <w:pPr>
              <w:widowControl/>
              <w:spacing w:after="0" w:line="278" w:lineRule="auto"/>
            </w:pPr>
            <w:r>
              <w:rPr>
                <w:sz w:val="20"/>
              </w:rPr>
              <w:t>原文相关部分及本地论文</w:t>
            </w:r>
          </w:p>
        </w:tc>
        <w:tc>
          <w:tcPr>
            <w:tcW w:type="dxa" w:w="2880"/>
            <w:vAlign w:val="center"/>
            <w:tcMar>
              <w:top w:w="85" w:type="dxa"/>
              <w:bottom w:w="85" w:type="dxa"/>
              <w:left w:w="100" w:type="dxa"/>
              <w:right w:w="100" w:type="dxa"/>
            </w:tcMar>
            <w:shd w:fill="F2F5F8"/>
          </w:tcPr>
          <w:p>
            <w:pPr>
              <w:widowControl/>
              <w:spacing w:after="0" w:line="278" w:lineRule="auto"/>
            </w:pPr>
            <w:r>
              <w:rPr>
                <w:sz w:val="20"/>
              </w:rPr>
              <w:t>当前流程的理论参照</w:t>
            </w:r>
          </w:p>
        </w:tc>
        <w:tc>
          <w:tcPr>
            <w:tcW w:type="dxa" w:w="2952"/>
            <w:vAlign w:val="center"/>
            <w:tcMar>
              <w:top w:w="85" w:type="dxa"/>
              <w:bottom w:w="85" w:type="dxa"/>
              <w:left w:w="100" w:type="dxa"/>
              <w:right w:w="100" w:type="dxa"/>
            </w:tcMar>
            <w:shd w:fill="F2F5F8"/>
          </w:tcPr>
          <w:p>
            <w:pPr>
              <w:widowControl/>
              <w:spacing w:after="0" w:line="278" w:lineRule="auto"/>
            </w:pPr>
            <w:r>
              <w:rPr>
                <w:sz w:val="20"/>
              </w:rPr>
              <w:t>精确 HIBE 与自适应 IBS 及完整性模型</w:t>
            </w:r>
          </w:p>
        </w:tc>
      </w:tr>
      <w:tr>
        <w:trPr>
          <w:cantSplit/>
        </w:trPr>
        <w:tc>
          <w:tcPr>
            <w:tcW w:type="dxa" w:w="2520"/>
            <w:vAlign w:val="center"/>
            <w:tcMar>
              <w:top w:w="85" w:type="dxa"/>
              <w:bottom w:w="85" w:type="dxa"/>
              <w:left w:w="100" w:type="dxa"/>
              <w:right w:w="100" w:type="dxa"/>
            </w:tcMar>
            <w:shd w:fill="FFFFFF"/>
          </w:tcPr>
          <w:p>
            <w:pPr>
              <w:widowControl/>
              <w:spacing w:after="0" w:line="278" w:lineRule="auto"/>
            </w:pPr>
            <w:r>
              <w:rPr>
                <w:sz w:val="20"/>
              </w:rPr>
              <w:t>Boyen Li 增强隐私 [S5]</w:t>
            </w:r>
          </w:p>
        </w:tc>
        <w:tc>
          <w:tcPr>
            <w:tcW w:type="dxa" w:w="1728"/>
            <w:vAlign w:val="center"/>
            <w:tcMar>
              <w:top w:w="85" w:type="dxa"/>
              <w:bottom w:w="85" w:type="dxa"/>
              <w:left w:w="100" w:type="dxa"/>
              <w:right w:w="100" w:type="dxa"/>
            </w:tcMar>
            <w:shd w:fill="FFFFFF"/>
          </w:tcPr>
          <w:p>
            <w:pPr>
              <w:widowControl/>
              <w:spacing w:after="0" w:line="278" w:lineRule="auto"/>
            </w:pPr>
            <w:r>
              <w:rPr>
                <w:sz w:val="20"/>
              </w:rPr>
              <w:t>本地原文相关部分</w:t>
            </w:r>
          </w:p>
        </w:tc>
        <w:tc>
          <w:tcPr>
            <w:tcW w:type="dxa" w:w="2880"/>
            <w:vAlign w:val="center"/>
            <w:tcMar>
              <w:top w:w="85" w:type="dxa"/>
              <w:bottom w:w="85" w:type="dxa"/>
              <w:left w:w="100" w:type="dxa"/>
              <w:right w:w="100" w:type="dxa"/>
            </w:tcMar>
            <w:shd w:fill="FFFFFF"/>
          </w:tcPr>
          <w:p>
            <w:pPr>
              <w:widowControl/>
              <w:spacing w:after="0" w:line="278" w:lineRule="auto"/>
            </w:pPr>
            <w:r>
              <w:rPr>
                <w:sz w:val="20"/>
              </w:rPr>
              <w:t>匿名 IBE IBS 提取器的通用路线</w:t>
            </w:r>
          </w:p>
        </w:tc>
        <w:tc>
          <w:tcPr>
            <w:tcW w:type="dxa" w:w="2952"/>
            <w:vAlign w:val="center"/>
            <w:tcMar>
              <w:top w:w="85" w:type="dxa"/>
              <w:bottom w:w="85" w:type="dxa"/>
              <w:left w:w="100" w:type="dxa"/>
              <w:right w:w="100" w:type="dxa"/>
            </w:tcMar>
            <w:shd w:fill="FFFFFF"/>
          </w:tcPr>
          <w:p>
            <w:pPr>
              <w:widowControl/>
              <w:spacing w:after="0" w:line="278" w:lineRule="auto"/>
            </w:pPr>
            <w:r>
              <w:rPr>
                <w:rFonts w:ascii="Consolas" w:hAnsi="Consolas"/>
                <w:sz w:val="20"/>
              </w:rPr>
              <w:t>Ext</w:t>
            </w:r>
            <w:r>
              <w:rPr>
                <w:sz w:val="20"/>
              </w:rPr>
              <w:t xml:space="preserve"> </w:t>
            </w:r>
            <w:r>
              <w:rPr>
                <w:rFonts w:ascii="Consolas" w:hAnsi="Consolas"/>
                <w:sz w:val="20"/>
              </w:rPr>
              <w:t>ReExt</w:t>
            </w:r>
            <w:r>
              <w:rPr>
                <w:sz w:val="20"/>
              </w:rPr>
              <w:t xml:space="preserve"> 与身份熵条件</w:t>
            </w:r>
          </w:p>
        </w:tc>
      </w:tr>
      <w:tr>
        <w:trPr>
          <w:cantSplit/>
        </w:trPr>
        <w:tc>
          <w:tcPr>
            <w:tcW w:type="dxa" w:w="2520"/>
            <w:vAlign w:val="center"/>
            <w:tcMar>
              <w:top w:w="85" w:type="dxa"/>
              <w:bottom w:w="85" w:type="dxa"/>
              <w:left w:w="100" w:type="dxa"/>
              <w:right w:w="100" w:type="dxa"/>
            </w:tcMar>
            <w:shd w:fill="F2F5F8"/>
          </w:tcPr>
          <w:p>
            <w:pPr>
              <w:widowControl/>
              <w:spacing w:after="0" w:line="278" w:lineRule="auto"/>
            </w:pPr>
            <w:r>
              <w:rPr>
                <w:sz w:val="20"/>
              </w:rPr>
              <w:t>Cimorelli Belfiore 等 ACNS 2024 [S6]</w:t>
            </w:r>
          </w:p>
        </w:tc>
        <w:tc>
          <w:tcPr>
            <w:tcW w:type="dxa" w:w="1728"/>
            <w:vAlign w:val="center"/>
            <w:tcMar>
              <w:top w:w="85" w:type="dxa"/>
              <w:bottom w:w="85" w:type="dxa"/>
              <w:left w:w="100" w:type="dxa"/>
              <w:right w:w="100" w:type="dxa"/>
            </w:tcMar>
            <w:shd w:fill="F2F5F8"/>
          </w:tcPr>
          <w:p>
            <w:pPr>
              <w:widowControl/>
              <w:spacing w:after="0" w:line="278" w:lineRule="auto"/>
            </w:pPr>
            <w:r>
              <w:rPr>
                <w:sz w:val="20"/>
              </w:rPr>
              <w:t>作者与机构摘要</w:t>
            </w:r>
          </w:p>
        </w:tc>
        <w:tc>
          <w:tcPr>
            <w:tcW w:type="dxa" w:w="2880"/>
            <w:vAlign w:val="center"/>
            <w:tcMar>
              <w:top w:w="85" w:type="dxa"/>
              <w:bottom w:w="85" w:type="dxa"/>
              <w:left w:w="100" w:type="dxa"/>
              <w:right w:w="100" w:type="dxa"/>
            </w:tcMar>
            <w:shd w:fill="F2F5F8"/>
          </w:tcPr>
          <w:p>
            <w:pPr>
              <w:widowControl/>
              <w:spacing w:after="0" w:line="278" w:lineRule="auto"/>
            </w:pPr>
            <w:r>
              <w:rPr>
                <w:sz w:val="20"/>
              </w:rPr>
              <w:t>标准格假设下另一类组合</w:t>
            </w:r>
          </w:p>
        </w:tc>
        <w:tc>
          <w:tcPr>
            <w:tcW w:type="dxa" w:w="2952"/>
            <w:vAlign w:val="center"/>
            <w:tcMar>
              <w:top w:w="85" w:type="dxa"/>
              <w:bottom w:w="85" w:type="dxa"/>
              <w:left w:w="100" w:type="dxa"/>
              <w:right w:w="100" w:type="dxa"/>
            </w:tcMar>
            <w:shd w:fill="F2F5F8"/>
          </w:tcPr>
          <w:p>
            <w:pPr>
              <w:widowControl/>
              <w:spacing w:after="0" w:line="278" w:lineRule="auto"/>
            </w:pPr>
            <w:r>
              <w:rPr>
                <w:sz w:val="20"/>
              </w:rPr>
              <w:t>可复用提取器与上下文隐藏同态签名</w:t>
            </w:r>
          </w:p>
        </w:tc>
      </w:tr>
      <w:tr>
        <w:trPr>
          <w:cantSplit/>
        </w:trPr>
        <w:tc>
          <w:tcPr>
            <w:tcW w:type="dxa" w:w="2520"/>
            <w:vAlign w:val="center"/>
            <w:tcMar>
              <w:top w:w="85" w:type="dxa"/>
              <w:bottom w:w="85" w:type="dxa"/>
              <w:left w:w="100" w:type="dxa"/>
              <w:right w:w="100" w:type="dxa"/>
            </w:tcMar>
            <w:shd w:fill="FFFFFF"/>
          </w:tcPr>
          <w:p>
            <w:pPr>
              <w:widowControl/>
              <w:spacing w:after="0" w:line="278" w:lineRule="auto"/>
            </w:pPr>
            <w:r>
              <w:rPr>
                <w:sz w:val="20"/>
              </w:rPr>
              <w:t>Chiku 等修订稿 [S7]</w:t>
            </w:r>
          </w:p>
        </w:tc>
        <w:tc>
          <w:tcPr>
            <w:tcW w:type="dxa" w:w="1728"/>
            <w:vAlign w:val="center"/>
            <w:tcMar>
              <w:top w:w="85" w:type="dxa"/>
              <w:bottom w:w="85" w:type="dxa"/>
              <w:left w:w="100" w:type="dxa"/>
              <w:right w:w="100" w:type="dxa"/>
            </w:tcMar>
            <w:shd w:fill="FFFFFF"/>
          </w:tcPr>
          <w:p>
            <w:pPr>
              <w:widowControl/>
              <w:spacing w:after="0" w:line="278" w:lineRule="auto"/>
            </w:pPr>
            <w:r>
              <w:rPr>
                <w:sz w:val="20"/>
              </w:rPr>
              <w:t>2026 版相关构造与比较</w:t>
            </w:r>
          </w:p>
        </w:tc>
        <w:tc>
          <w:tcPr>
            <w:tcW w:type="dxa" w:w="2880"/>
            <w:vAlign w:val="center"/>
            <w:tcMar>
              <w:top w:w="85" w:type="dxa"/>
              <w:bottom w:w="85" w:type="dxa"/>
              <w:left w:w="100" w:type="dxa"/>
              <w:right w:w="100" w:type="dxa"/>
            </w:tcMar>
            <w:shd w:fill="FFFFFF"/>
          </w:tcPr>
          <w:p>
            <w:pPr>
              <w:widowControl/>
              <w:spacing w:after="0" w:line="278" w:lineRule="auto"/>
            </w:pPr>
            <w:r>
              <w:rPr>
                <w:sz w:val="20"/>
              </w:rPr>
              <w:t>增强隐私与 CCA 模型核对</w:t>
            </w:r>
          </w:p>
        </w:tc>
        <w:tc>
          <w:tcPr>
            <w:tcW w:type="dxa" w:w="2952"/>
            <w:vAlign w:val="center"/>
            <w:tcMar>
              <w:top w:w="85" w:type="dxa"/>
              <w:bottom w:w="85" w:type="dxa"/>
              <w:left w:w="100" w:type="dxa"/>
              <w:right w:w="100" w:type="dxa"/>
            </w:tcMar>
            <w:shd w:fill="FFFFFF"/>
          </w:tcPr>
          <w:p>
            <w:pPr>
              <w:widowControl/>
              <w:spacing w:after="0" w:line="278" w:lineRule="auto"/>
            </w:pPr>
            <w:r>
              <w:rPr>
                <w:sz w:val="20"/>
              </w:rPr>
              <w:t>普通签名 证明系统及提取器的开销</w:t>
            </w:r>
          </w:p>
        </w:tc>
      </w:tr>
      <w:tr>
        <w:trPr>
          <w:cantSplit/>
        </w:trPr>
        <w:tc>
          <w:tcPr>
            <w:tcW w:type="dxa" w:w="2520"/>
            <w:vAlign w:val="center"/>
            <w:tcMar>
              <w:top w:w="85" w:type="dxa"/>
              <w:bottom w:w="85" w:type="dxa"/>
              <w:left w:w="100" w:type="dxa"/>
              <w:right w:w="100" w:type="dxa"/>
            </w:tcMar>
            <w:shd w:fill="F2F5F8"/>
          </w:tcPr>
          <w:p>
            <w:pPr>
              <w:widowControl/>
              <w:spacing w:after="0" w:line="278" w:lineRule="auto"/>
            </w:pPr>
            <w:r>
              <w:rPr>
                <w:sz w:val="20"/>
              </w:rPr>
              <w:t>Li Qin Boyen ACISP 2026 [S8]</w:t>
            </w:r>
          </w:p>
        </w:tc>
        <w:tc>
          <w:tcPr>
            <w:tcW w:type="dxa" w:w="1728"/>
            <w:vAlign w:val="center"/>
            <w:tcMar>
              <w:top w:w="85" w:type="dxa"/>
              <w:bottom w:w="85" w:type="dxa"/>
              <w:left w:w="100" w:type="dxa"/>
              <w:right w:w="100" w:type="dxa"/>
            </w:tcMar>
            <w:shd w:fill="F2F5F8"/>
          </w:tcPr>
          <w:p>
            <w:pPr>
              <w:widowControl/>
              <w:spacing w:after="0" w:line="278" w:lineRule="auto"/>
            </w:pPr>
            <w:r>
              <w:rPr>
                <w:sz w:val="20"/>
              </w:rPr>
              <w:t>出版社摘要</w:t>
            </w:r>
          </w:p>
        </w:tc>
        <w:tc>
          <w:tcPr>
            <w:tcW w:type="dxa" w:w="2880"/>
            <w:vAlign w:val="center"/>
            <w:tcMar>
              <w:top w:w="85" w:type="dxa"/>
              <w:bottom w:w="85" w:type="dxa"/>
              <w:left w:w="100" w:type="dxa"/>
              <w:right w:w="100" w:type="dxa"/>
            </w:tcMar>
            <w:shd w:fill="F2F5F8"/>
          </w:tcPr>
          <w:p>
            <w:pPr>
              <w:widowControl/>
              <w:spacing w:after="0" w:line="278" w:lineRule="auto"/>
            </w:pPr>
            <w:r>
              <w:rPr>
                <w:sz w:val="20"/>
              </w:rPr>
              <w:t>增强隐私 CCA 及格实例实现</w:t>
            </w:r>
          </w:p>
        </w:tc>
        <w:tc>
          <w:tcPr>
            <w:tcW w:type="dxa" w:w="2952"/>
            <w:vAlign w:val="center"/>
            <w:tcMar>
              <w:top w:w="85" w:type="dxa"/>
              <w:bottom w:w="85" w:type="dxa"/>
              <w:left w:w="100" w:type="dxa"/>
              <w:right w:w="100" w:type="dxa"/>
            </w:tcMar>
            <w:shd w:fill="F2F5F8"/>
          </w:tcPr>
          <w:p>
            <w:pPr>
              <w:widowControl/>
              <w:spacing w:after="0" w:line="278" w:lineRule="auto"/>
            </w:pPr>
            <w:r>
              <w:rPr>
                <w:sz w:val="20"/>
              </w:rPr>
              <w:t>需取得全文与代码核验</w:t>
            </w:r>
          </w:p>
        </w:tc>
      </w:tr>
      <w:tr>
        <w:trPr>
          <w:cantSplit/>
        </w:trPr>
        <w:tc>
          <w:tcPr>
            <w:tcW w:type="dxa" w:w="2520"/>
            <w:vAlign w:val="center"/>
            <w:tcMar>
              <w:top w:w="85" w:type="dxa"/>
              <w:bottom w:w="85" w:type="dxa"/>
              <w:left w:w="100" w:type="dxa"/>
              <w:right w:w="100" w:type="dxa"/>
            </w:tcMar>
            <w:shd w:fill="FFFFFF"/>
          </w:tcPr>
          <w:p>
            <w:pPr>
              <w:widowControl/>
              <w:spacing w:after="0" w:line="278" w:lineRule="auto"/>
            </w:pPr>
            <w:r>
              <w:rPr>
                <w:sz w:val="20"/>
              </w:rPr>
              <w:t>Yu 等 TCS 2026 [S3]</w:t>
            </w:r>
          </w:p>
        </w:tc>
        <w:tc>
          <w:tcPr>
            <w:tcW w:type="dxa" w:w="1728"/>
            <w:vAlign w:val="center"/>
            <w:tcMar>
              <w:top w:w="85" w:type="dxa"/>
              <w:bottom w:w="85" w:type="dxa"/>
              <w:left w:w="100" w:type="dxa"/>
              <w:right w:w="100" w:type="dxa"/>
            </w:tcMar>
            <w:shd w:fill="FFFFFF"/>
          </w:tcPr>
          <w:p>
            <w:pPr>
              <w:widowControl/>
              <w:spacing w:after="0" w:line="278" w:lineRule="auto"/>
            </w:pPr>
            <w:r>
              <w:rPr>
                <w:sz w:val="20"/>
              </w:rPr>
              <w:t>出版社摘要及构造概述</w:t>
            </w:r>
          </w:p>
        </w:tc>
        <w:tc>
          <w:tcPr>
            <w:tcW w:type="dxa" w:w="2880"/>
            <w:vAlign w:val="center"/>
            <w:tcMar>
              <w:top w:w="85" w:type="dxa"/>
              <w:bottom w:w="85" w:type="dxa"/>
              <w:left w:w="100" w:type="dxa"/>
              <w:right w:w="100" w:type="dxa"/>
            </w:tcMar>
            <w:shd w:fill="FFFFFF"/>
          </w:tcPr>
          <w:p>
            <w:pPr>
              <w:widowControl/>
              <w:spacing w:after="0" w:line="278" w:lineRule="auto"/>
            </w:pPr>
            <w:r>
              <w:rPr>
                <w:sz w:val="20"/>
              </w:rPr>
              <w:t>密钥重复使用与 IBE 加 IBS</w:t>
            </w:r>
          </w:p>
        </w:tc>
        <w:tc>
          <w:tcPr>
            <w:tcW w:type="dxa" w:w="2952"/>
            <w:vAlign w:val="center"/>
            <w:tcMar>
              <w:top w:w="85" w:type="dxa"/>
              <w:bottom w:w="85" w:type="dxa"/>
              <w:left w:w="100" w:type="dxa"/>
              <w:right w:w="100" w:type="dxa"/>
            </w:tcMar>
            <w:shd w:fill="FFFFFF"/>
          </w:tcPr>
          <w:p>
            <w:pPr>
              <w:widowControl/>
              <w:spacing w:after="0" w:line="278" w:lineRule="auto"/>
            </w:pPr>
            <w:r>
              <w:rPr>
                <w:sz w:val="20"/>
              </w:rPr>
              <w:t>标准模型前提与实际参数</w:t>
            </w:r>
          </w:p>
        </w:tc>
      </w:tr>
      <w:tr>
        <w:trPr>
          <w:cantSplit/>
        </w:trPr>
        <w:tc>
          <w:tcPr>
            <w:tcW w:type="dxa" w:w="2520"/>
            <w:vAlign w:val="center"/>
            <w:tcMar>
              <w:top w:w="85" w:type="dxa"/>
              <w:bottom w:w="85" w:type="dxa"/>
              <w:left w:w="100" w:type="dxa"/>
              <w:right w:w="100" w:type="dxa"/>
            </w:tcMar>
            <w:shd w:fill="F2F5F8"/>
          </w:tcPr>
          <w:p>
            <w:pPr>
              <w:widowControl/>
              <w:spacing w:after="0" w:line="278" w:lineRule="auto"/>
            </w:pPr>
            <w:r>
              <w:rPr>
                <w:sz w:val="20"/>
              </w:rPr>
              <w:t>IBMEIL 2026 [S9]</w:t>
            </w:r>
          </w:p>
        </w:tc>
        <w:tc>
          <w:tcPr>
            <w:tcW w:type="dxa" w:w="1728"/>
            <w:vAlign w:val="center"/>
            <w:tcMar>
              <w:top w:w="85" w:type="dxa"/>
              <w:bottom w:w="85" w:type="dxa"/>
              <w:left w:w="100" w:type="dxa"/>
              <w:right w:w="100" w:type="dxa"/>
            </w:tcMar>
            <w:shd w:fill="F2F5F8"/>
          </w:tcPr>
          <w:p>
            <w:pPr>
              <w:widowControl/>
              <w:spacing w:after="0" w:line="278" w:lineRule="auto"/>
            </w:pPr>
            <w:r>
              <w:rPr>
                <w:sz w:val="20"/>
              </w:rPr>
              <w:t>出版社摘要</w:t>
            </w:r>
          </w:p>
        </w:tc>
        <w:tc>
          <w:tcPr>
            <w:tcW w:type="dxa" w:w="2880"/>
            <w:vAlign w:val="center"/>
            <w:tcMar>
              <w:top w:w="85" w:type="dxa"/>
              <w:bottom w:w="85" w:type="dxa"/>
              <w:left w:w="100" w:type="dxa"/>
              <w:right w:w="100" w:type="dxa"/>
            </w:tcMar>
            <w:shd w:fill="F2F5F8"/>
          </w:tcPr>
          <w:p>
            <w:pPr>
              <w:widowControl/>
              <w:spacing w:after="0" w:line="278" w:lineRule="auto"/>
            </w:pPr>
            <w:r>
              <w:rPr>
                <w:sz w:val="20"/>
              </w:rPr>
              <w:t>直接理想格实例及物联网应用</w:t>
            </w:r>
          </w:p>
        </w:tc>
        <w:tc>
          <w:tcPr>
            <w:tcW w:type="dxa" w:w="2952"/>
            <w:vAlign w:val="center"/>
            <w:tcMar>
              <w:top w:w="85" w:type="dxa"/>
              <w:bottom w:w="85" w:type="dxa"/>
              <w:left w:w="100" w:type="dxa"/>
              <w:right w:w="100" w:type="dxa"/>
            </w:tcMar>
            <w:shd w:fill="F2F5F8"/>
          </w:tcPr>
          <w:p>
            <w:pPr>
              <w:widowControl/>
              <w:spacing w:after="0" w:line="278" w:lineRule="auto"/>
            </w:pPr>
            <w:r>
              <w:rPr>
                <w:sz w:val="20"/>
              </w:rPr>
              <w:t>正式认证游戏和完整性是否适配</w:t>
            </w:r>
          </w:p>
        </w:tc>
      </w:tr>
    </w:tbl>
    <w:p>
      <w:pPr>
        <w:spacing w:after="60" w:before="0" w:line="120" w:lineRule="auto"/>
      </w:pPr>
      <w:r>
        <w:rPr>
          <w:sz w:val="4"/>
        </w:rPr>
      </w:r>
    </w:p>
    <w:p>
      <w:r>
        <w:t>Wang 等方案直接支持当前的 HIBE 加 IBS 思路，可作为第一套数学参考实例。我们需要按论文真正要求的原语重建，而不是把当前运行成功的后端视作证明已经成立。[S1]</w:t>
      </w:r>
    </w:p>
    <w:p>
      <w:r>
        <w:t>Boyen 与 Li 的论文属于 ESORICS 2023 会议论文集，出版于 2024 年。其增强隐私路线需要匿名 IBE、IBS，以及提取与可复用提取机制和身份熵前提。低熵的公开用户名不会因为哈希一次就产生新的秘密熵，因此应用身份设计与密码学假设必须一起考虑。[S5]</w:t>
      </w:r>
    </w:p>
    <w:p>
      <w:r>
        <w:t>ACNS 2024 的另一条路线使用匿名 IBE、可复用计算提取器，并用上下文隐藏同态签名补充认证。它与当前 HIBE 委派路线的证明组件不同，值得作为理论比较候选，但暂未核验全文的实际算法与参数。[S6]</w:t>
      </w:r>
    </w:p>
    <w:p>
      <w:r>
        <w:rPr>
          <w:b/>
        </w:rPr>
        <w:t>版本变化会改变路线判断。</w:t>
      </w:r>
      <w:r>
        <w:t xml:space="preserve"> ePrint 2023/1435 本次核验的最新版本为 2026 年 7 月 6 日修订稿，当前标题是 Identity-Based Matchmaking Encryption with Enhanced Privacy Against Chosen-Ciphertext Attacks，修订说明明确提到修复通用构造的技术缺陷。当前 §5 涉及匿名 IBE、普通数字签名、模拟可靠且可提取的 NIZK 和可复用提取器。不能沿用旧缓存标题或旧版本的简单组件对比，宣称已经得到当前版本的高效格实例。[S7]</w:t>
      </w:r>
    </w:p>
    <w:p>
      <w:r>
        <w:t>ACISP 2026 的 Li、Qin、Boyen 工作在出版社摘要中宣称增强隐私、选择密文安全以及已实现格实例。它与赛题关注点接近，应该优先取得全文和实现材料，再判断能否成为主路线。本次没有核验其完整证明、参数和性能，不填写未经确认的实现收益。[S8]</w:t>
      </w:r>
    </w:p>
    <w:p>
      <w:r>
        <w:t>TCS 2026 的 Yu 等工作讨论复用同一发送密钥时的更强认证，并提出利用密文伪随机 IBE 与 IBS 的路线。这个方向可能减少 HIBE 委派开销，但“只需 IBE”不表示任意普通 IBE 都可替换，也不能自动提供错误发送者条件下的增强隐私。全文证明和参数仍需精读。[S3]</w:t>
      </w:r>
    </w:p>
    <w:p>
      <w:r>
        <w:t>IBMEIL 的出版社摘要给出 RLWE 和环上非齐次 SIS 路线。它可以作为直接环格候选，优先核对完整算法、攻击者发钥和签名权限、同一密钥复用，以及篡改拒绝定义。本次仅凭摘要，不能把它排为最优或宣称已满足自我伪造目标。[S9]</w:t>
      </w:r>
    </w:p>
    <w:p>
      <w:r>
        <w:t>早期 Match Me If You Can 及 Chen 等标准假设构造有助于比较定义和组合思想，但其双线性对路线不能作为抗量子格实例交付。它们适合理论对照，不适合与安全目标不同的格实现混在同一张速度排名表。[S10][S11]</w:t>
      </w:r>
    </w:p>
    <w:p>
      <w:pPr>
        <w:pStyle w:val="Heading1"/>
      </w:pPr>
      <w:r>
        <w:t>9 底层原语及多类格实例的具体选择</w:t>
      </w:r>
    </w:p>
    <w:p>
      <w:pPr>
        <w:pStyle w:val="Heading2"/>
      </w:pPr>
      <w:r>
        <w:t>9.1 IBS 候选需要扩展旧报告</w:t>
      </w:r>
    </w:p>
    <w:p>
      <w:r>
        <w:t>应同时考虑 Wang 的完整转换版本、Pan Wagner、Foo Li，以及旧报告未充分展开的 Sageloli 等 ACNS 2023 工作。每个候选都应核对自适应性、经典或量子随机预言机、重复密钥与签名查询、分布条件和具体参数，而非只比较向量长度。</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04"/>
        <w:gridCol w:w="3888"/>
        <w:gridCol w:w="3888"/>
      </w:tblGrid>
      <w:tr>
        <w:trPr>
          <w:cantSplit/>
          <w:tblHeader w:val="true"/>
        </w:trPr>
        <w:tc>
          <w:tcPr>
            <w:tcW w:type="dxa" w:w="2304"/>
            <w:vAlign w:val="center"/>
            <w:tcMar>
              <w:top w:w="85" w:type="dxa"/>
              <w:bottom w:w="85" w:type="dxa"/>
              <w:left w:w="100" w:type="dxa"/>
              <w:right w:w="100" w:type="dxa"/>
            </w:tcMar>
            <w:shd w:fill="17365D"/>
          </w:tcPr>
          <w:p>
            <w:pPr>
              <w:widowControl/>
              <w:spacing w:after="0" w:line="278" w:lineRule="auto"/>
              <w:jc w:val="center"/>
            </w:pPr>
            <w:r>
              <w:rPr>
                <w:b/>
                <w:color w:val="FFFFFF"/>
                <w:sz w:val="20"/>
              </w:rPr>
              <w:t>IBS 候选</w:t>
            </w:r>
          </w:p>
        </w:tc>
        <w:tc>
          <w:tcPr>
            <w:tcW w:type="dxa" w:w="3888"/>
            <w:vAlign w:val="center"/>
            <w:tcMar>
              <w:top w:w="85" w:type="dxa"/>
              <w:bottom w:w="85" w:type="dxa"/>
              <w:left w:w="100" w:type="dxa"/>
              <w:right w:w="100" w:type="dxa"/>
            </w:tcMar>
            <w:shd w:fill="17365D"/>
          </w:tcPr>
          <w:p>
            <w:pPr>
              <w:widowControl/>
              <w:spacing w:after="0" w:line="278" w:lineRule="auto"/>
              <w:jc w:val="center"/>
            </w:pPr>
            <w:r>
              <w:rPr>
                <w:b/>
                <w:color w:val="FFFFFF"/>
                <w:sz w:val="20"/>
              </w:rPr>
              <w:t>特征</w:t>
            </w:r>
          </w:p>
        </w:tc>
        <w:tc>
          <w:tcPr>
            <w:tcW w:type="dxa" w:w="3888"/>
            <w:vAlign w:val="center"/>
            <w:tcMar>
              <w:top w:w="85" w:type="dxa"/>
              <w:bottom w:w="85" w:type="dxa"/>
              <w:left w:w="100" w:type="dxa"/>
              <w:right w:w="100" w:type="dxa"/>
            </w:tcMar>
            <w:shd w:fill="17365D"/>
          </w:tcPr>
          <w:p>
            <w:pPr>
              <w:widowControl/>
              <w:spacing w:after="0" w:line="278" w:lineRule="auto"/>
              <w:jc w:val="center"/>
            </w:pPr>
            <w:r>
              <w:rPr>
                <w:b/>
                <w:color w:val="FFFFFF"/>
                <w:sz w:val="20"/>
              </w:rPr>
              <w:t>必须核验的实现细节</w:t>
            </w:r>
          </w:p>
        </w:tc>
      </w:tr>
      <w:tr>
        <w:trPr>
          <w:cantSplit/>
        </w:trPr>
        <w:tc>
          <w:tcPr>
            <w:tcW w:type="dxa" w:w="2304"/>
            <w:vAlign w:val="center"/>
            <w:tcMar>
              <w:top w:w="85" w:type="dxa"/>
              <w:bottom w:w="85" w:type="dxa"/>
              <w:left w:w="100" w:type="dxa"/>
              <w:right w:w="100" w:type="dxa"/>
            </w:tcMar>
            <w:shd w:fill="F2F5F8"/>
          </w:tcPr>
          <w:p>
            <w:pPr>
              <w:widowControl/>
              <w:spacing w:after="0" w:line="278" w:lineRule="auto"/>
            </w:pPr>
            <w:r>
              <w:rPr>
                <w:sz w:val="20"/>
              </w:rPr>
              <w:t>Wang 基本 IBS 及自适应转换</w:t>
            </w:r>
          </w:p>
        </w:tc>
        <w:tc>
          <w:tcPr>
            <w:tcW w:type="dxa" w:w="3888"/>
            <w:vAlign w:val="center"/>
            <w:tcMar>
              <w:top w:w="85" w:type="dxa"/>
              <w:bottom w:w="85" w:type="dxa"/>
              <w:left w:w="100" w:type="dxa"/>
              <w:right w:w="100" w:type="dxa"/>
            </w:tcMar>
            <w:shd w:fill="F2F5F8"/>
          </w:tcPr>
          <w:p>
            <w:pPr>
              <w:widowControl/>
              <w:spacing w:after="0" w:line="278" w:lineRule="auto"/>
            </w:pPr>
            <w:r>
              <w:rPr>
                <w:sz w:val="20"/>
              </w:rPr>
              <w:t>与当前实现关系直接</w:t>
            </w:r>
          </w:p>
        </w:tc>
        <w:tc>
          <w:tcPr>
            <w:tcW w:type="dxa" w:w="3888"/>
            <w:vAlign w:val="center"/>
            <w:tcMar>
              <w:top w:w="85" w:type="dxa"/>
              <w:bottom w:w="85" w:type="dxa"/>
              <w:left w:w="100" w:type="dxa"/>
              <w:right w:w="100" w:type="dxa"/>
            </w:tcMar>
            <w:shd w:fill="F2F5F8"/>
          </w:tcPr>
          <w:p>
            <w:pPr>
              <w:widowControl/>
              <w:spacing w:after="0" w:line="278" w:lineRule="auto"/>
            </w:pPr>
            <w:r>
              <w:rPr>
                <w:sz w:val="20"/>
              </w:rPr>
              <w:t>基本 UF-naCMA 与完整转换的区别</w:t>
            </w:r>
          </w:p>
        </w:tc>
      </w:tr>
      <w:tr>
        <w:trPr>
          <w:cantSplit/>
        </w:trPr>
        <w:tc>
          <w:tcPr>
            <w:tcW w:type="dxa" w:w="2304"/>
            <w:vAlign w:val="center"/>
            <w:tcMar>
              <w:top w:w="85" w:type="dxa"/>
              <w:bottom w:w="85" w:type="dxa"/>
              <w:left w:w="100" w:type="dxa"/>
              <w:right w:w="100" w:type="dxa"/>
            </w:tcMar>
            <w:shd w:fill="FFFFFF"/>
          </w:tcPr>
          <w:p>
            <w:pPr>
              <w:widowControl/>
              <w:spacing w:after="0" w:line="278" w:lineRule="auto"/>
            </w:pPr>
            <w:r>
              <w:rPr>
                <w:sz w:val="20"/>
              </w:rPr>
              <w:t>Pan Wagner 2021 [S12]</w:t>
            </w:r>
          </w:p>
        </w:tc>
        <w:tc>
          <w:tcPr>
            <w:tcW w:type="dxa" w:w="3888"/>
            <w:vAlign w:val="center"/>
            <w:tcMar>
              <w:top w:w="85" w:type="dxa"/>
              <w:bottom w:w="85" w:type="dxa"/>
              <w:left w:w="100" w:type="dxa"/>
              <w:right w:w="100" w:type="dxa"/>
            </w:tcMar>
            <w:shd w:fill="FFFFFF"/>
          </w:tcPr>
          <w:p>
            <w:pPr>
              <w:widowControl/>
              <w:spacing w:after="0" w:line="278" w:lineRule="auto"/>
            </w:pPr>
            <w:r>
              <w:rPr>
                <w:sz w:val="20"/>
              </w:rPr>
              <w:t>紧安全转换及短签名参照</w:t>
            </w:r>
          </w:p>
        </w:tc>
        <w:tc>
          <w:tcPr>
            <w:tcW w:type="dxa" w:w="3888"/>
            <w:vAlign w:val="center"/>
            <w:tcMar>
              <w:top w:w="85" w:type="dxa"/>
              <w:bottom w:w="85" w:type="dxa"/>
              <w:left w:w="100" w:type="dxa"/>
              <w:right w:w="100" w:type="dxa"/>
            </w:tcMar>
            <w:shd w:fill="FFFFFF"/>
          </w:tcPr>
          <w:p>
            <w:pPr>
              <w:widowControl/>
              <w:spacing w:after="0" w:line="278" w:lineRule="auto"/>
            </w:pPr>
            <w:r>
              <w:rPr>
                <w:sz w:val="20"/>
              </w:rPr>
              <w:t>转换状态 密钥一致性 哈希模式</w:t>
            </w:r>
          </w:p>
        </w:tc>
      </w:tr>
      <w:tr>
        <w:trPr>
          <w:cantSplit/>
        </w:trPr>
        <w:tc>
          <w:tcPr>
            <w:tcW w:type="dxa" w:w="2304"/>
            <w:vAlign w:val="center"/>
            <w:tcMar>
              <w:top w:w="85" w:type="dxa"/>
              <w:bottom w:w="85" w:type="dxa"/>
              <w:left w:w="100" w:type="dxa"/>
              <w:right w:w="100" w:type="dxa"/>
            </w:tcMar>
            <w:shd w:fill="F2F5F8"/>
          </w:tcPr>
          <w:p>
            <w:pPr>
              <w:widowControl/>
              <w:spacing w:after="0" w:line="278" w:lineRule="auto"/>
            </w:pPr>
            <w:r>
              <w:rPr>
                <w:sz w:val="20"/>
              </w:rPr>
              <w:t>Foo Li 2023 [S13]</w:t>
            </w:r>
          </w:p>
        </w:tc>
        <w:tc>
          <w:tcPr>
            <w:tcW w:type="dxa" w:w="3888"/>
            <w:vAlign w:val="center"/>
            <w:tcMar>
              <w:top w:w="85" w:type="dxa"/>
              <w:bottom w:w="85" w:type="dxa"/>
              <w:left w:w="100" w:type="dxa"/>
              <w:right w:w="100" w:type="dxa"/>
            </w:tcMar>
            <w:shd w:fill="F2F5F8"/>
          </w:tcPr>
          <w:p>
            <w:pPr>
              <w:widowControl/>
              <w:spacing w:after="0" w:line="278" w:lineRule="auto"/>
            </w:pPr>
            <w:r>
              <w:rPr>
                <w:sz w:val="20"/>
              </w:rPr>
              <w:t>QROM 中紧安全 一个向量与一比特</w:t>
            </w:r>
          </w:p>
        </w:tc>
        <w:tc>
          <w:tcPr>
            <w:tcW w:type="dxa" w:w="3888"/>
            <w:vAlign w:val="center"/>
            <w:tcMar>
              <w:top w:w="85" w:type="dxa"/>
              <w:bottom w:w="85" w:type="dxa"/>
              <w:left w:w="100" w:type="dxa"/>
              <w:right w:w="100" w:type="dxa"/>
            </w:tcMar>
            <w:shd w:fill="F2F5F8"/>
          </w:tcPr>
          <w:p>
            <w:pPr>
              <w:widowControl/>
              <w:spacing w:after="0" w:line="278" w:lineRule="auto"/>
            </w:pPr>
            <w:r>
              <w:rPr>
                <w:sz w:val="20"/>
              </w:rPr>
              <w:t>主密钥秘密种子 用户种子 确定性查询一致性</w:t>
            </w:r>
          </w:p>
        </w:tc>
      </w:tr>
      <w:tr>
        <w:trPr>
          <w:cantSplit/>
        </w:trPr>
        <w:tc>
          <w:tcPr>
            <w:tcW w:type="dxa" w:w="2304"/>
            <w:vAlign w:val="center"/>
            <w:tcMar>
              <w:top w:w="85" w:type="dxa"/>
              <w:bottom w:w="85" w:type="dxa"/>
              <w:left w:w="100" w:type="dxa"/>
              <w:right w:w="100" w:type="dxa"/>
            </w:tcMar>
            <w:shd w:fill="FFFFFF"/>
          </w:tcPr>
          <w:p>
            <w:pPr>
              <w:widowControl/>
              <w:spacing w:after="0" w:line="278" w:lineRule="auto"/>
            </w:pPr>
            <w:r>
              <w:rPr>
                <w:sz w:val="20"/>
              </w:rPr>
              <w:t>Sageloli 等 2023 [S14]</w:t>
            </w:r>
          </w:p>
        </w:tc>
        <w:tc>
          <w:tcPr>
            <w:tcW w:type="dxa" w:w="3888"/>
            <w:vAlign w:val="center"/>
            <w:tcMar>
              <w:top w:w="85" w:type="dxa"/>
              <w:bottom w:w="85" w:type="dxa"/>
              <w:left w:w="100" w:type="dxa"/>
              <w:right w:w="100" w:type="dxa"/>
            </w:tcMar>
            <w:shd w:fill="FFFFFF"/>
          </w:tcPr>
          <w:p>
            <w:pPr>
              <w:widowControl/>
              <w:spacing w:after="0" w:line="278" w:lineRule="auto"/>
            </w:pPr>
            <w:r>
              <w:rPr>
                <w:sz w:val="20"/>
              </w:rPr>
              <w:t>SIS 和 RSIS 版本及具体参数</w:t>
            </w:r>
          </w:p>
        </w:tc>
        <w:tc>
          <w:tcPr>
            <w:tcW w:type="dxa" w:w="3888"/>
            <w:vAlign w:val="center"/>
            <w:tcMar>
              <w:top w:w="85" w:type="dxa"/>
              <w:bottom w:w="85" w:type="dxa"/>
              <w:left w:w="100" w:type="dxa"/>
              <w:right w:w="100" w:type="dxa"/>
            </w:tcMar>
            <w:shd w:fill="FFFFFF"/>
          </w:tcPr>
          <w:p>
            <w:pPr>
              <w:widowControl/>
              <w:spacing w:after="0" w:line="278" w:lineRule="auto"/>
            </w:pPr>
            <w:r>
              <w:rPr>
                <w:sz w:val="20"/>
              </w:rPr>
              <w:t>非齐次方程 三进制 gadget 与完整采样</w:t>
            </w:r>
          </w:p>
        </w:tc>
      </w:tr>
    </w:tbl>
    <w:p>
      <w:pPr>
        <w:spacing w:after="60" w:before="0" w:line="120" w:lineRule="auto"/>
      </w:pPr>
      <w:r>
        <w:rPr>
          <w:sz w:val="4"/>
        </w:rPr>
      </w:r>
    </w:p>
    <w:p>
      <w:r>
        <w:t>Foo Li 的算法并非在当前向量后随便加一比特。其秘密种子控制身份密钥和签名采样的重复一致性，实现需要保留相应状态或确定性导出逻辑。论文的签名缩短比较基线是 Pan Wagner，不能把其百分比移用于当前 Wang 教学实现，也不能据 IBS 的 QROM 定理宣称完整 IBME 已获 QROM 证明。[S13]</w:t>
      </w:r>
    </w:p>
    <w:p>
      <w:r>
        <w:t>Sageloli 等提供 SIS、RSIS 实例、具体参数表及参数计算材料。其三进制 gadget 对应模数形式与当前二进制工具不同，不能复用二进制拆分后直接标为论文实现。这条路线可以同时支持矩阵和环格 IBS 比较，是时间充分条件下应纳入的候选。[S14]</w:t>
      </w:r>
    </w:p>
    <w:p>
      <w:r>
        <w:t>Module-SIS IBS 需要找到或建立真正支持身份发钥和相应安全游戏的完整方案。普通 ML-DSA 或 Falcon 是普通签名体系，不能仅把身份字符串当作公钥，就成为论文要求的 IBS。若需要自行构造，研究量可能接近新论文，应作为独立课题安排。</w:t>
      </w:r>
    </w:p>
    <w:p>
      <w:pPr>
        <w:pStyle w:val="Heading2"/>
      </w:pPr>
      <w:r>
        <w:t>9.2 HIBE 与匿名 IBE 候选</w:t>
      </w:r>
    </w:p>
    <w:p>
      <w:r>
        <w:t>若选择 HIBE 加 IBS，建议首先精确实现 ABB10 CRYPTO 2010 的两层算法，标明选用 §4 ROM 构造与定理前提。标准模型版本属于另一种实例，应单独审查。Latte 有公开实现和结构化格优化价值，但普通 HIBE 的机密性或 CCA 性质并不自动包含所需的匿名性；在匿名性证据明确前，它适合性能和委派机制研究。[S4][S15]</w:t>
      </w:r>
    </w:p>
    <w:p>
      <w:r>
        <w:t>若选择匿名 IBE 组合，值得重点研究 Tomita 与 Shikata 的 ePrint 2024/1765。当前版本于 2026 年 4 月 22 日修订，基于 Module-LWE，涉及紧凑近似陷门和自适应匿名性在 ROM 与 QROM 中的证明。本次已读取构造、参数条件与安全证明入口。它提供了具体的模格研究入口，而不是仅在计划里写“将来支持 Module-LWE”。[S16]</w:t>
      </w:r>
    </w:p>
    <w:p>
      <w:r>
        <w:t>这项研究的渐近紧凑性不等于现成的工程参数优于所有旧方案。其条件涉及近似原像误差、环模数及噪声，且最新版本修改了参数条件。需要推导具体尺寸与失败概率后，才能排名。其 PQCrypto 2024 环格前身也应与当前模格版本分开冻结，不能混用旧参数和新定理。[S16][S17]</w:t>
      </w:r>
    </w:p>
    <w:p>
      <w:pPr>
        <w:pStyle w:val="Heading2"/>
      </w:pPr>
      <w:r>
        <w:t>9.3 矩阵 环格 模格和 NTRU 的边界</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872"/>
        <w:gridCol w:w="3888"/>
        <w:gridCol w:w="4320"/>
      </w:tblGrid>
      <w:tr>
        <w:trPr>
          <w:cantSplit/>
          <w:tblHeader w:val="true"/>
        </w:trPr>
        <w:tc>
          <w:tcPr>
            <w:tcW w:type="dxa" w:w="1872"/>
            <w:vAlign w:val="center"/>
            <w:tcMar>
              <w:top w:w="85" w:type="dxa"/>
              <w:bottom w:w="85" w:type="dxa"/>
              <w:left w:w="100" w:type="dxa"/>
              <w:right w:w="100" w:type="dxa"/>
            </w:tcMar>
            <w:shd w:fill="17365D"/>
          </w:tcPr>
          <w:p>
            <w:pPr>
              <w:widowControl/>
              <w:spacing w:after="0" w:line="278" w:lineRule="auto"/>
              <w:jc w:val="center"/>
            </w:pPr>
            <w:r>
              <w:rPr>
                <w:b/>
                <w:color w:val="FFFFFF"/>
                <w:sz w:val="20"/>
              </w:rPr>
              <w:t>类别</w:t>
            </w:r>
          </w:p>
        </w:tc>
        <w:tc>
          <w:tcPr>
            <w:tcW w:type="dxa" w:w="3888"/>
            <w:vAlign w:val="center"/>
            <w:tcMar>
              <w:top w:w="85" w:type="dxa"/>
              <w:bottom w:w="85" w:type="dxa"/>
              <w:left w:w="100" w:type="dxa"/>
              <w:right w:w="100" w:type="dxa"/>
            </w:tcMar>
            <w:shd w:fill="17365D"/>
          </w:tcPr>
          <w:p>
            <w:pPr>
              <w:widowControl/>
              <w:spacing w:after="0" w:line="278" w:lineRule="auto"/>
              <w:jc w:val="center"/>
            </w:pPr>
            <w:r>
              <w:rPr>
                <w:b/>
                <w:color w:val="FFFFFF"/>
                <w:sz w:val="20"/>
              </w:rPr>
              <w:t>数学对象</w:t>
            </w:r>
          </w:p>
        </w:tc>
        <w:tc>
          <w:tcPr>
            <w:tcW w:type="dxa" w:w="4320"/>
            <w:vAlign w:val="center"/>
            <w:tcMar>
              <w:top w:w="85" w:type="dxa"/>
              <w:bottom w:w="85" w:type="dxa"/>
              <w:left w:w="100" w:type="dxa"/>
              <w:right w:w="100" w:type="dxa"/>
            </w:tcMar>
            <w:shd w:fill="17365D"/>
          </w:tcPr>
          <w:p>
            <w:pPr>
              <w:widowControl/>
              <w:spacing w:after="0" w:line="278" w:lineRule="auto"/>
              <w:jc w:val="center"/>
            </w:pPr>
            <w:r>
              <w:rPr>
                <w:b/>
                <w:color w:val="FFFFFF"/>
                <w:sz w:val="20"/>
              </w:rPr>
              <w:t>项目中的研究重点</w:t>
            </w:r>
          </w:p>
        </w:tc>
      </w:tr>
      <w:tr>
        <w:trPr>
          <w:cantSplit/>
        </w:trPr>
        <w:tc>
          <w:tcPr>
            <w:tcW w:type="dxa" w:w="1872"/>
            <w:vAlign w:val="center"/>
            <w:tcMar>
              <w:top w:w="85" w:type="dxa"/>
              <w:bottom w:w="85" w:type="dxa"/>
              <w:left w:w="100" w:type="dxa"/>
              <w:right w:w="100" w:type="dxa"/>
            </w:tcMar>
            <w:shd w:fill="F2F5F8"/>
          </w:tcPr>
          <w:p>
            <w:pPr>
              <w:widowControl/>
              <w:spacing w:after="0" w:line="278" w:lineRule="auto"/>
            </w:pPr>
            <w:r>
              <w:rPr>
                <w:sz w:val="20"/>
              </w:rPr>
              <w:t>LWE 与 SIS</w:t>
            </w:r>
          </w:p>
        </w:tc>
        <w:tc>
          <w:tcPr>
            <w:tcW w:type="dxa" w:w="3888"/>
            <w:vAlign w:val="center"/>
            <w:tcMar>
              <w:top w:w="85" w:type="dxa"/>
              <w:bottom w:w="85" w:type="dxa"/>
              <w:left w:w="100" w:type="dxa"/>
              <w:right w:w="100" w:type="dxa"/>
            </w:tcMar>
            <w:shd w:fill="F2F5F8"/>
          </w:tcPr>
          <w:p>
            <w:pPr>
              <w:widowControl/>
              <w:spacing w:after="0" w:line="278" w:lineRule="auto"/>
            </w:pPr>
            <w:r>
              <w:rPr>
                <w:sz w:val="20"/>
              </w:rPr>
              <w:t>模整数矩阵和整数向量</w:t>
            </w:r>
          </w:p>
        </w:tc>
        <w:tc>
          <w:tcPr>
            <w:tcW w:type="dxa" w:w="4320"/>
            <w:vAlign w:val="center"/>
            <w:tcMar>
              <w:top w:w="85" w:type="dxa"/>
              <w:bottom w:w="85" w:type="dxa"/>
              <w:left w:w="100" w:type="dxa"/>
              <w:right w:w="100" w:type="dxa"/>
            </w:tcMar>
            <w:shd w:fill="F2F5F8"/>
          </w:tcPr>
          <w:p>
            <w:pPr>
              <w:widowControl/>
              <w:spacing w:after="0" w:line="278" w:lineRule="auto"/>
            </w:pPr>
            <w:r>
              <w:rPr>
                <w:sz w:val="20"/>
              </w:rPr>
              <w:t>完整参考实例与基础攻击估计</w:t>
            </w:r>
          </w:p>
        </w:tc>
      </w:tr>
      <w:tr>
        <w:trPr>
          <w:cantSplit/>
        </w:trPr>
        <w:tc>
          <w:tcPr>
            <w:tcW w:type="dxa" w:w="1872"/>
            <w:vAlign w:val="center"/>
            <w:tcMar>
              <w:top w:w="85" w:type="dxa"/>
              <w:bottom w:w="85" w:type="dxa"/>
              <w:left w:w="100" w:type="dxa"/>
              <w:right w:w="100" w:type="dxa"/>
            </w:tcMar>
            <w:shd w:fill="FFFFFF"/>
          </w:tcPr>
          <w:p>
            <w:pPr>
              <w:widowControl/>
              <w:spacing w:after="0" w:line="278" w:lineRule="auto"/>
            </w:pPr>
            <w:r>
              <w:rPr>
                <w:sz w:val="20"/>
              </w:rPr>
              <w:t>RLWE 与 RSIS</w:t>
            </w:r>
          </w:p>
        </w:tc>
        <w:tc>
          <w:tcPr>
            <w:tcW w:type="dxa" w:w="3888"/>
            <w:vAlign w:val="center"/>
            <w:tcMar>
              <w:top w:w="85" w:type="dxa"/>
              <w:bottom w:w="85" w:type="dxa"/>
              <w:left w:w="100" w:type="dxa"/>
              <w:right w:w="100" w:type="dxa"/>
            </w:tcMar>
            <w:shd w:fill="FFFFFF"/>
          </w:tcPr>
          <w:p>
            <w:pPr>
              <w:widowControl/>
              <w:spacing w:after="0" w:line="278" w:lineRule="auto"/>
            </w:pPr>
            <w:r>
              <w:rPr>
                <w:sz w:val="20"/>
              </w:rPr>
              <w:t>指定多项式环及理想格</w:t>
            </w:r>
          </w:p>
        </w:tc>
        <w:tc>
          <w:tcPr>
            <w:tcW w:type="dxa" w:w="4320"/>
            <w:vAlign w:val="center"/>
            <w:tcMar>
              <w:top w:w="85" w:type="dxa"/>
              <w:bottom w:w="85" w:type="dxa"/>
              <w:left w:w="100" w:type="dxa"/>
              <w:right w:w="100" w:type="dxa"/>
            </w:tcMar>
            <w:shd w:fill="FFFFFF"/>
          </w:tcPr>
          <w:p>
            <w:pPr>
              <w:widowControl/>
              <w:spacing w:after="0" w:line="278" w:lineRule="auto"/>
            </w:pPr>
            <w:r>
              <w:rPr>
                <w:sz w:val="20"/>
              </w:rPr>
              <w:t>环陷门 采样 系数嵌入及环攻击</w:t>
            </w:r>
          </w:p>
        </w:tc>
      </w:tr>
      <w:tr>
        <w:trPr>
          <w:cantSplit/>
        </w:trPr>
        <w:tc>
          <w:tcPr>
            <w:tcW w:type="dxa" w:w="1872"/>
            <w:vAlign w:val="center"/>
            <w:tcMar>
              <w:top w:w="85" w:type="dxa"/>
              <w:bottom w:w="85" w:type="dxa"/>
              <w:left w:w="100" w:type="dxa"/>
              <w:right w:w="100" w:type="dxa"/>
            </w:tcMar>
            <w:shd w:fill="F2F5F8"/>
          </w:tcPr>
          <w:p>
            <w:pPr>
              <w:widowControl/>
              <w:spacing w:after="0" w:line="278" w:lineRule="auto"/>
            </w:pPr>
            <w:r>
              <w:rPr>
                <w:sz w:val="20"/>
              </w:rPr>
              <w:t>Module-LWE 与 Module-SIS</w:t>
            </w:r>
          </w:p>
        </w:tc>
        <w:tc>
          <w:tcPr>
            <w:tcW w:type="dxa" w:w="3888"/>
            <w:vAlign w:val="center"/>
            <w:tcMar>
              <w:top w:w="85" w:type="dxa"/>
              <w:bottom w:w="85" w:type="dxa"/>
              <w:left w:w="100" w:type="dxa"/>
              <w:right w:w="100" w:type="dxa"/>
            </w:tcMar>
            <w:shd w:fill="F2F5F8"/>
          </w:tcPr>
          <w:p>
            <w:pPr>
              <w:widowControl/>
              <w:spacing w:after="0" w:line="278" w:lineRule="auto"/>
            </w:pPr>
            <w:r>
              <w:rPr>
                <w:sz w:val="20"/>
              </w:rPr>
              <w:t>环上的模向量及矩阵</w:t>
            </w:r>
          </w:p>
        </w:tc>
        <w:tc>
          <w:tcPr>
            <w:tcW w:type="dxa" w:w="4320"/>
            <w:vAlign w:val="center"/>
            <w:tcMar>
              <w:top w:w="85" w:type="dxa"/>
              <w:bottom w:w="85" w:type="dxa"/>
              <w:left w:w="100" w:type="dxa"/>
              <w:right w:w="100" w:type="dxa"/>
            </w:tcMar>
            <w:shd w:fill="F2F5F8"/>
          </w:tcPr>
          <w:p>
            <w:pPr>
              <w:widowControl/>
              <w:spacing w:after="0" w:line="278" w:lineRule="auto"/>
            </w:pPr>
            <w:r>
              <w:rPr>
                <w:sz w:val="20"/>
              </w:rPr>
              <w:t>环次数与模秩共同选择 完整身份原语</w:t>
            </w:r>
          </w:p>
        </w:tc>
      </w:tr>
      <w:tr>
        <w:trPr>
          <w:cantSplit/>
        </w:trPr>
        <w:tc>
          <w:tcPr>
            <w:tcW w:type="dxa" w:w="1872"/>
            <w:vAlign w:val="center"/>
            <w:tcMar>
              <w:top w:w="85" w:type="dxa"/>
              <w:bottom w:w="85" w:type="dxa"/>
              <w:left w:w="100" w:type="dxa"/>
              <w:right w:w="100" w:type="dxa"/>
            </w:tcMar>
            <w:shd w:fill="FFFFFF"/>
          </w:tcPr>
          <w:p>
            <w:pPr>
              <w:widowControl/>
              <w:spacing w:after="0" w:line="278" w:lineRule="auto"/>
            </w:pPr>
            <w:r>
              <w:rPr>
                <w:sz w:val="20"/>
              </w:rPr>
              <w:t>NTRU 型格</w:t>
            </w:r>
          </w:p>
        </w:tc>
        <w:tc>
          <w:tcPr>
            <w:tcW w:type="dxa" w:w="3888"/>
            <w:vAlign w:val="center"/>
            <w:tcMar>
              <w:top w:w="85" w:type="dxa"/>
              <w:bottom w:w="85" w:type="dxa"/>
              <w:left w:w="100" w:type="dxa"/>
              <w:right w:w="100" w:type="dxa"/>
            </w:tcMar>
            <w:shd w:fill="FFFFFF"/>
          </w:tcPr>
          <w:p>
            <w:pPr>
              <w:widowControl/>
              <w:spacing w:after="0" w:line="278" w:lineRule="auto"/>
            </w:pPr>
            <w:r>
              <w:rPr>
                <w:sz w:val="20"/>
              </w:rPr>
              <w:t>特定结构与陷门分布</w:t>
            </w:r>
          </w:p>
        </w:tc>
        <w:tc>
          <w:tcPr>
            <w:tcW w:type="dxa" w:w="4320"/>
            <w:vAlign w:val="center"/>
            <w:tcMar>
              <w:top w:w="85" w:type="dxa"/>
              <w:bottom w:w="85" w:type="dxa"/>
              <w:left w:w="100" w:type="dxa"/>
              <w:right w:w="100" w:type="dxa"/>
            </w:tcMar>
            <w:shd w:fill="FFFFFF"/>
          </w:tcPr>
          <w:p>
            <w:pPr>
              <w:widowControl/>
              <w:spacing w:after="0" w:line="278" w:lineRule="auto"/>
            </w:pPr>
            <w:r>
              <w:rPr>
                <w:sz w:val="20"/>
              </w:rPr>
              <w:t>委派性能与匿名性条件分别核验</w:t>
            </w:r>
          </w:p>
        </w:tc>
      </w:tr>
    </w:tbl>
    <w:p>
      <w:pPr>
        <w:spacing w:after="60" w:before="0" w:line="120" w:lineRule="auto"/>
      </w:pPr>
      <w:r>
        <w:rPr>
          <w:sz w:val="4"/>
        </w:rPr>
      </w:r>
    </w:p>
    <w:p>
      <w:r>
        <w:t xml:space="preserve">在环或模格方案中，总系数维度常涉及环次数 </w:t>
      </w:r>
      <m:oMath>
        <m:r>
          <m:t>d</m:t>
        </m:r>
      </m:oMath>
      <w:r>
        <w:t xml:space="preserve"> 与模秩 </w:t>
      </w:r>
      <m:oMath>
        <m:r>
          <m:t>r</m:t>
        </m:r>
      </m:oMath>
      <w:r>
        <w:t xml:space="preserve"> 的乘积。它不等于矩阵方案中直接换一个 </w:t>
      </w:r>
      <m:oMath>
        <m:r>
          <m:t>n</m:t>
        </m:r>
      </m:oMath>
      <w:r>
        <w:t>，也不保证同样数字的维度代表同样安全强度。必须记录环多项式、模数、嵌入、误差分布与攻击模型。</w:t>
      </w:r>
    </w:p>
    <w:p>
      <w:r>
        <w:t>共享“LWE”名称不意味着可以复用同一份参数或证明。ML-KEM 是模块格 KEM，不能直接取代带身份提取或委派能力的 IBE/HIBE。FIPS 203 的参数等级也不能转移到我们自己的 IBME 组合。[S18]</w:t>
      </w:r>
    </w:p>
    <w:p>
      <w:r>
        <w:t>允许采用混合组合，例如 Module-LWE 匿名 IBE 加矩阵 SIS IBS，但应如实说明两种底层假设和各自瓶颈。它可以作为多类格组件灵活组合的成果，不应伪称为全部组件都是模格的方案。</w:t>
      </w:r>
    </w:p>
    <w:p>
      <w:pPr>
        <w:pStyle w:val="Heading1"/>
      </w:pPr>
      <w:r>
        <w:t>10 主路线决策方法与建议顺序</w:t>
      </w:r>
    </w:p>
    <w:p>
      <w:r>
        <w:t>先为每个通用构造建立“能力清单”：需要匿名 IBE 还是匿名 HIBE；需不需要密文伪随机；认证是否允许目标用户持有自己的接收密钥；是否有解密查询；能否复用发送密钥；提取器是否需要身份熵；是否需要证明系统；每项定理适用经典还是量子攻击者。</w:t>
      </w:r>
    </w:p>
    <w:p>
      <w:r>
        <w:t>再给每套候选做三项验证。第一项是理论兼容性，确认每个原语定理确实满足组合要求。第二项是具体可实现性，列出采样、状态、参数和现成代码情况。第三项才是实测成本，包括委派、签名、胶囊、消息体和内存。</w:t>
      </w:r>
    </w:p>
    <w:p>
      <w:r>
        <w:t>建议的推进顺序如下。先建立修正后的 HIBE 加 IBS 矩阵参考实例，用于理解、差分测试和安全条件审查；同时精读 2026 年增强隐私 CCA 及重复密钥认证论文，选定面向赛题的主协议。随后实现第二套通用构造或组件组合，再落实环格 IBS 与模格匿名 IBE，形成可运行的结构化格比较。</w:t>
      </w:r>
    </w:p>
    <w:p>
      <w:r>
        <w:t>这并不要求一定保留 HIBE 加 IBS 为最终展示主方案。如果匿名 IBE 路线的完整性、增强隐私和实际参数更适合，允许将其提升为主路线。保留第一套参考实例的价值在于提供独立可审查基线，而不是为了延续已有文件名。</w:t>
      </w:r>
    </w:p>
    <w:p>
      <w:r>
        <w:t>在时间充分的前提下，不应因开发难度直接排除模格，但也不应同时手写大量未验证后端。每套后端通过数学和安全关口后再进入优化层；这样既能扩展研究范围，也能控制证据质量。</w:t>
      </w:r>
    </w:p>
    <w:p>
      <w:pPr>
        <w:pStyle w:val="Heading1"/>
      </w:pPr>
      <w:r>
        <w:t>11 安全模型与参数工作的具体内容</w:t>
      </w:r>
    </w:p>
    <w:p>
      <w:pPr>
        <w:pStyle w:val="Heading2"/>
      </w:pPr>
      <w:r>
        <w:t>11.1 先冻结攻击者能力</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872"/>
        <w:gridCol w:w="3888"/>
        <w:gridCol w:w="4320"/>
      </w:tblGrid>
      <w:tr>
        <w:trPr>
          <w:cantSplit/>
          <w:tblHeader w:val="true"/>
        </w:trPr>
        <w:tc>
          <w:tcPr>
            <w:tcW w:type="dxa" w:w="1872"/>
            <w:vAlign w:val="center"/>
            <w:tcMar>
              <w:top w:w="85" w:type="dxa"/>
              <w:bottom w:w="85" w:type="dxa"/>
              <w:left w:w="100" w:type="dxa"/>
              <w:right w:w="100" w:type="dxa"/>
            </w:tcMar>
            <w:shd w:fill="17365D"/>
          </w:tcPr>
          <w:p>
            <w:pPr>
              <w:widowControl/>
              <w:spacing w:after="0" w:line="278" w:lineRule="auto"/>
              <w:jc w:val="center"/>
            </w:pPr>
            <w:r>
              <w:rPr>
                <w:b/>
                <w:color w:val="FFFFFF"/>
                <w:sz w:val="20"/>
              </w:rPr>
              <w:t>对手</w:t>
            </w:r>
          </w:p>
        </w:tc>
        <w:tc>
          <w:tcPr>
            <w:tcW w:type="dxa" w:w="3888"/>
            <w:vAlign w:val="center"/>
            <w:tcMar>
              <w:top w:w="85" w:type="dxa"/>
              <w:bottom w:w="85" w:type="dxa"/>
              <w:left w:w="100" w:type="dxa"/>
              <w:right w:w="100" w:type="dxa"/>
            </w:tcMar>
            <w:shd w:fill="17365D"/>
          </w:tcPr>
          <w:p>
            <w:pPr>
              <w:widowControl/>
              <w:spacing w:after="0" w:line="278" w:lineRule="auto"/>
              <w:jc w:val="center"/>
            </w:pPr>
            <w:r>
              <w:rPr>
                <w:b/>
                <w:color w:val="FFFFFF"/>
                <w:sz w:val="20"/>
              </w:rPr>
              <w:t>允许能力</w:t>
            </w:r>
          </w:p>
        </w:tc>
        <w:tc>
          <w:tcPr>
            <w:tcW w:type="dxa" w:w="4320"/>
            <w:vAlign w:val="center"/>
            <w:tcMar>
              <w:top w:w="85" w:type="dxa"/>
              <w:bottom w:w="85" w:type="dxa"/>
              <w:left w:w="100" w:type="dxa"/>
              <w:right w:w="100" w:type="dxa"/>
            </w:tcMar>
            <w:shd w:fill="17365D"/>
          </w:tcPr>
          <w:p>
            <w:pPr>
              <w:widowControl/>
              <w:spacing w:after="0" w:line="278" w:lineRule="auto"/>
              <w:jc w:val="center"/>
            </w:pPr>
            <w:r>
              <w:rPr>
                <w:b/>
                <w:color w:val="FFFFFF"/>
                <w:sz w:val="20"/>
              </w:rPr>
              <w:t>需要回答的问题</w:t>
            </w:r>
          </w:p>
        </w:tc>
      </w:tr>
      <w:tr>
        <w:trPr>
          <w:cantSplit/>
        </w:trPr>
        <w:tc>
          <w:tcPr>
            <w:tcW w:type="dxa" w:w="1872"/>
            <w:vAlign w:val="center"/>
            <w:tcMar>
              <w:top w:w="85" w:type="dxa"/>
              <w:bottom w:w="85" w:type="dxa"/>
              <w:left w:w="100" w:type="dxa"/>
              <w:right w:w="100" w:type="dxa"/>
            </w:tcMar>
            <w:shd w:fill="F2F5F8"/>
          </w:tcPr>
          <w:p>
            <w:pPr>
              <w:widowControl/>
              <w:spacing w:after="0" w:line="278" w:lineRule="auto"/>
            </w:pPr>
            <w:r>
              <w:rPr>
                <w:sz w:val="20"/>
              </w:rPr>
              <w:t>外部观察者</w:t>
            </w:r>
          </w:p>
        </w:tc>
        <w:tc>
          <w:tcPr>
            <w:tcW w:type="dxa" w:w="3888"/>
            <w:vAlign w:val="center"/>
            <w:tcMar>
              <w:top w:w="85" w:type="dxa"/>
              <w:bottom w:w="85" w:type="dxa"/>
              <w:left w:w="100" w:type="dxa"/>
              <w:right w:w="100" w:type="dxa"/>
            </w:tcMar>
            <w:shd w:fill="F2F5F8"/>
          </w:tcPr>
          <w:p>
            <w:pPr>
              <w:widowControl/>
              <w:spacing w:after="0" w:line="278" w:lineRule="auto"/>
            </w:pPr>
            <w:r>
              <w:rPr>
                <w:sz w:val="20"/>
              </w:rPr>
              <w:t>看到公钥 密文与网络元数据</w:t>
            </w:r>
          </w:p>
        </w:tc>
        <w:tc>
          <w:tcPr>
            <w:tcW w:type="dxa" w:w="4320"/>
            <w:vAlign w:val="center"/>
            <w:tcMar>
              <w:top w:w="85" w:type="dxa"/>
              <w:bottom w:w="85" w:type="dxa"/>
              <w:left w:w="100" w:type="dxa"/>
              <w:right w:w="100" w:type="dxa"/>
            </w:tcMar>
            <w:shd w:fill="F2F5F8"/>
          </w:tcPr>
          <w:p>
            <w:pPr>
              <w:widowControl/>
              <w:spacing w:after="0" w:line="278" w:lineRule="auto"/>
            </w:pPr>
            <w:r>
              <w:rPr>
                <w:sz w:val="20"/>
              </w:rPr>
              <w:t>消息和身份能否被推断</w:t>
            </w:r>
          </w:p>
        </w:tc>
      </w:tr>
      <w:tr>
        <w:trPr>
          <w:cantSplit/>
        </w:trPr>
        <w:tc>
          <w:tcPr>
            <w:tcW w:type="dxa" w:w="1872"/>
            <w:vAlign w:val="center"/>
            <w:tcMar>
              <w:top w:w="85" w:type="dxa"/>
              <w:bottom w:w="85" w:type="dxa"/>
              <w:left w:w="100" w:type="dxa"/>
              <w:right w:w="100" w:type="dxa"/>
            </w:tcMar>
            <w:shd w:fill="FFFFFF"/>
          </w:tcPr>
          <w:p>
            <w:pPr>
              <w:widowControl/>
              <w:spacing w:after="0" w:line="278" w:lineRule="auto"/>
            </w:pPr>
            <w:r>
              <w:rPr>
                <w:sz w:val="20"/>
              </w:rPr>
              <w:t>其它用户</w:t>
            </w:r>
          </w:p>
        </w:tc>
        <w:tc>
          <w:tcPr>
            <w:tcW w:type="dxa" w:w="3888"/>
            <w:vAlign w:val="center"/>
            <w:tcMar>
              <w:top w:w="85" w:type="dxa"/>
              <w:bottom w:w="85" w:type="dxa"/>
              <w:left w:w="100" w:type="dxa"/>
              <w:right w:w="100" w:type="dxa"/>
            </w:tcMar>
            <w:shd w:fill="FFFFFF"/>
          </w:tcPr>
          <w:p>
            <w:pPr>
              <w:widowControl/>
              <w:spacing w:after="0" w:line="278" w:lineRule="auto"/>
            </w:pPr>
            <w:r>
              <w:rPr>
                <w:sz w:val="20"/>
              </w:rPr>
              <w:t>拿到非目标身份的用户密钥</w:t>
            </w:r>
          </w:p>
        </w:tc>
        <w:tc>
          <w:tcPr>
            <w:tcW w:type="dxa" w:w="4320"/>
            <w:vAlign w:val="center"/>
            <w:tcMar>
              <w:top w:w="85" w:type="dxa"/>
              <w:bottom w:w="85" w:type="dxa"/>
              <w:left w:w="100" w:type="dxa"/>
              <w:right w:w="100" w:type="dxa"/>
            </w:tcMar>
            <w:shd w:fill="FFFFFF"/>
          </w:tcPr>
          <w:p>
            <w:pPr>
              <w:widowControl/>
              <w:spacing w:after="0" w:line="278" w:lineRule="auto"/>
            </w:pPr>
            <w:r>
              <w:rPr>
                <w:sz w:val="20"/>
              </w:rPr>
              <w:t>能否解开或冒充目标身份</w:t>
            </w:r>
          </w:p>
        </w:tc>
      </w:tr>
      <w:tr>
        <w:trPr>
          <w:cantSplit/>
        </w:trPr>
        <w:tc>
          <w:tcPr>
            <w:tcW w:type="dxa" w:w="1872"/>
            <w:vAlign w:val="center"/>
            <w:tcMar>
              <w:top w:w="85" w:type="dxa"/>
              <w:bottom w:w="85" w:type="dxa"/>
              <w:left w:w="100" w:type="dxa"/>
              <w:right w:w="100" w:type="dxa"/>
            </w:tcMar>
            <w:shd w:fill="F2F5F8"/>
          </w:tcPr>
          <w:p>
            <w:pPr>
              <w:widowControl/>
              <w:spacing w:after="0" w:line="278" w:lineRule="auto"/>
            </w:pPr>
            <w:r>
              <w:rPr>
                <w:sz w:val="20"/>
              </w:rPr>
              <w:t>恶意接收者</w:t>
            </w:r>
          </w:p>
        </w:tc>
        <w:tc>
          <w:tcPr>
            <w:tcW w:type="dxa" w:w="3888"/>
            <w:vAlign w:val="center"/>
            <w:tcMar>
              <w:top w:w="85" w:type="dxa"/>
              <w:bottom w:w="85" w:type="dxa"/>
              <w:left w:w="100" w:type="dxa"/>
              <w:right w:w="100" w:type="dxa"/>
            </w:tcMar>
            <w:shd w:fill="F2F5F8"/>
          </w:tcPr>
          <w:p>
            <w:pPr>
              <w:widowControl/>
              <w:spacing w:after="0" w:line="278" w:lineRule="auto"/>
            </w:pPr>
            <w:r>
              <w:rPr>
                <w:sz w:val="20"/>
              </w:rPr>
              <w:t>持有正确接收密钥并修改客户端</w:t>
            </w:r>
          </w:p>
        </w:tc>
        <w:tc>
          <w:tcPr>
            <w:tcW w:type="dxa" w:w="4320"/>
            <w:vAlign w:val="center"/>
            <w:tcMar>
              <w:top w:w="85" w:type="dxa"/>
              <w:bottom w:w="85" w:type="dxa"/>
              <w:left w:w="100" w:type="dxa"/>
              <w:right w:w="100" w:type="dxa"/>
            </w:tcMar>
            <w:shd w:fill="F2F5F8"/>
          </w:tcPr>
          <w:p>
            <w:pPr>
              <w:widowControl/>
              <w:spacing w:after="0" w:line="278" w:lineRule="auto"/>
            </w:pPr>
            <w:r>
              <w:rPr>
                <w:sz w:val="20"/>
              </w:rPr>
              <w:t>能否自我伪造 或绕过匹配获得消息</w:t>
            </w:r>
          </w:p>
        </w:tc>
      </w:tr>
      <w:tr>
        <w:trPr>
          <w:cantSplit/>
        </w:trPr>
        <w:tc>
          <w:tcPr>
            <w:tcW w:type="dxa" w:w="1872"/>
            <w:vAlign w:val="center"/>
            <w:tcMar>
              <w:top w:w="85" w:type="dxa"/>
              <w:bottom w:w="85" w:type="dxa"/>
              <w:left w:w="100" w:type="dxa"/>
              <w:right w:w="100" w:type="dxa"/>
            </w:tcMar>
            <w:shd w:fill="FFFFFF"/>
          </w:tcPr>
          <w:p>
            <w:pPr>
              <w:widowControl/>
              <w:spacing w:after="0" w:line="278" w:lineRule="auto"/>
            </w:pPr>
            <w:r>
              <w:rPr>
                <w:sz w:val="20"/>
              </w:rPr>
              <w:t>重复使用者</w:t>
            </w:r>
          </w:p>
        </w:tc>
        <w:tc>
          <w:tcPr>
            <w:tcW w:type="dxa" w:w="3888"/>
            <w:vAlign w:val="center"/>
            <w:tcMar>
              <w:top w:w="85" w:type="dxa"/>
              <w:bottom w:w="85" w:type="dxa"/>
              <w:left w:w="100" w:type="dxa"/>
              <w:right w:w="100" w:type="dxa"/>
            </w:tcMar>
            <w:shd w:fill="FFFFFF"/>
          </w:tcPr>
          <w:p>
            <w:pPr>
              <w:widowControl/>
              <w:spacing w:after="0" w:line="278" w:lineRule="auto"/>
            </w:pPr>
            <w:r>
              <w:rPr>
                <w:sz w:val="20"/>
              </w:rPr>
              <w:t>同一身份同一发送密钥发送多次</w:t>
            </w:r>
          </w:p>
        </w:tc>
        <w:tc>
          <w:tcPr>
            <w:tcW w:type="dxa" w:w="4320"/>
            <w:vAlign w:val="center"/>
            <w:tcMar>
              <w:top w:w="85" w:type="dxa"/>
              <w:bottom w:w="85" w:type="dxa"/>
              <w:left w:w="100" w:type="dxa"/>
              <w:right w:w="100" w:type="dxa"/>
            </w:tcMar>
            <w:shd w:fill="FFFFFF"/>
          </w:tcPr>
          <w:p>
            <w:pPr>
              <w:widowControl/>
              <w:spacing w:after="0" w:line="278" w:lineRule="auto"/>
            </w:pPr>
            <w:r>
              <w:rPr>
                <w:sz w:val="20"/>
              </w:rPr>
              <w:t>查询一致性和相关性是否符合定理</w:t>
            </w:r>
          </w:p>
        </w:tc>
      </w:tr>
      <w:tr>
        <w:trPr>
          <w:cantSplit/>
        </w:trPr>
        <w:tc>
          <w:tcPr>
            <w:tcW w:type="dxa" w:w="1872"/>
            <w:vAlign w:val="center"/>
            <w:tcMar>
              <w:top w:w="85" w:type="dxa"/>
              <w:bottom w:w="85" w:type="dxa"/>
              <w:left w:w="100" w:type="dxa"/>
              <w:right w:w="100" w:type="dxa"/>
            </w:tcMar>
            <w:shd w:fill="F2F5F8"/>
          </w:tcPr>
          <w:p>
            <w:pPr>
              <w:widowControl/>
              <w:spacing w:after="0" w:line="278" w:lineRule="auto"/>
            </w:pPr>
            <w:r>
              <w:rPr>
                <w:sz w:val="20"/>
              </w:rPr>
              <w:t>选择密文攻击者</w:t>
            </w:r>
          </w:p>
        </w:tc>
        <w:tc>
          <w:tcPr>
            <w:tcW w:type="dxa" w:w="3888"/>
            <w:vAlign w:val="center"/>
            <w:tcMar>
              <w:top w:w="85" w:type="dxa"/>
              <w:bottom w:w="85" w:type="dxa"/>
              <w:left w:w="100" w:type="dxa"/>
              <w:right w:w="100" w:type="dxa"/>
            </w:tcMar>
            <w:shd w:fill="F2F5F8"/>
          </w:tcPr>
          <w:p>
            <w:pPr>
              <w:widowControl/>
              <w:spacing w:after="0" w:line="278" w:lineRule="auto"/>
            </w:pPr>
            <w:r>
              <w:rPr>
                <w:sz w:val="20"/>
              </w:rPr>
              <w:t>按游戏约束查询解密接口</w:t>
            </w:r>
          </w:p>
        </w:tc>
        <w:tc>
          <w:tcPr>
            <w:tcW w:type="dxa" w:w="4320"/>
            <w:vAlign w:val="center"/>
            <w:tcMar>
              <w:top w:w="85" w:type="dxa"/>
              <w:bottom w:w="85" w:type="dxa"/>
              <w:left w:w="100" w:type="dxa"/>
              <w:right w:w="100" w:type="dxa"/>
            </w:tcMar>
            <w:shd w:fill="F2F5F8"/>
          </w:tcPr>
          <w:p>
            <w:pPr>
              <w:widowControl/>
              <w:spacing w:after="0" w:line="278" w:lineRule="auto"/>
            </w:pPr>
            <w:r>
              <w:rPr>
                <w:sz w:val="20"/>
              </w:rPr>
              <w:t>非挑战密文查询能否泄露挑战信息</w:t>
            </w:r>
          </w:p>
        </w:tc>
      </w:tr>
      <w:tr>
        <w:trPr>
          <w:cantSplit/>
        </w:trPr>
        <w:tc>
          <w:tcPr>
            <w:tcW w:type="dxa" w:w="1872"/>
            <w:vAlign w:val="center"/>
            <w:tcMar>
              <w:top w:w="85" w:type="dxa"/>
              <w:bottom w:w="85" w:type="dxa"/>
              <w:left w:w="100" w:type="dxa"/>
              <w:right w:w="100" w:type="dxa"/>
            </w:tcMar>
            <w:shd w:fill="FFFFFF"/>
          </w:tcPr>
          <w:p>
            <w:pPr>
              <w:widowControl/>
              <w:spacing w:after="0" w:line="278" w:lineRule="auto"/>
            </w:pPr>
            <w:r>
              <w:rPr>
                <w:sz w:val="20"/>
              </w:rPr>
              <w:t>系统中心</w:t>
            </w:r>
          </w:p>
        </w:tc>
        <w:tc>
          <w:tcPr>
            <w:tcW w:type="dxa" w:w="3888"/>
            <w:vAlign w:val="center"/>
            <w:tcMar>
              <w:top w:w="85" w:type="dxa"/>
              <w:bottom w:w="85" w:type="dxa"/>
              <w:left w:w="100" w:type="dxa"/>
              <w:right w:w="100" w:type="dxa"/>
            </w:tcMar>
            <w:shd w:fill="FFFFFF"/>
          </w:tcPr>
          <w:p>
            <w:pPr>
              <w:widowControl/>
              <w:spacing w:after="0" w:line="278" w:lineRule="auto"/>
            </w:pPr>
            <w:r>
              <w:rPr>
                <w:sz w:val="20"/>
              </w:rPr>
              <w:t>掌握主密钥</w:t>
            </w:r>
          </w:p>
        </w:tc>
        <w:tc>
          <w:tcPr>
            <w:tcW w:type="dxa" w:w="4320"/>
            <w:vAlign w:val="center"/>
            <w:tcMar>
              <w:top w:w="85" w:type="dxa"/>
              <w:bottom w:w="85" w:type="dxa"/>
              <w:left w:w="100" w:type="dxa"/>
              <w:right w:w="100" w:type="dxa"/>
            </w:tcMar>
            <w:shd w:fill="FFFFFF"/>
          </w:tcPr>
          <w:p>
            <w:pPr>
              <w:widowControl/>
              <w:spacing w:after="0" w:line="278" w:lineRule="auto"/>
            </w:pPr>
            <w:r>
              <w:rPr>
                <w:sz w:val="20"/>
              </w:rPr>
              <w:t>托管信任边界与管理措施是什么</w:t>
            </w:r>
          </w:p>
        </w:tc>
      </w:tr>
    </w:tbl>
    <w:p>
      <w:pPr>
        <w:spacing w:after="60" w:before="0" w:line="120" w:lineRule="auto"/>
      </w:pPr>
      <w:r>
        <w:rPr>
          <w:sz w:val="4"/>
        </w:rPr>
      </w:r>
    </w:p>
    <w:p>
      <w:r>
        <w:t>隐私游戏和认证游戏可能对挑战身份、发钥、加密与签名查询有不同限制。必须逐条记录，不宜用“满足 IND-CCA 和不可伪造”一句话掩盖差异。应用的用户枚举、网络地址和日志泄漏，也不属于密文匿名定理自动保护的范围。</w:t>
      </w:r>
    </w:p>
    <w:p>
      <w:pPr>
        <w:pStyle w:val="Heading2"/>
      </w:pPr>
      <w:r>
        <w:t>11.2 论文算法到代码的对应表</w:t>
      </w:r>
    </w:p>
    <w:p>
      <w:r>
        <w:t>每个后端都需要一份对应表，至少列出：论文版本与哈希、算法和定理编号、代码入口、矩阵尺寸、输入空间、采样分布、哈希预言机、秘密状态、范数限制、证明前提及实现差异。不能只有一条论文引用和若干公式。</w:t>
      </w:r>
    </w:p>
    <w:p>
      <w:r>
        <w:t>特别要检查“重复请求”语义：同一身份再次取密钥时是否复用已有状态；同一消息签名的随机性是否由秘密种子导出；不同进程和重启后是否保持必要的一致性。如果要改变论文的状态模型，应先说明证明为什么仍成立。</w:t>
      </w:r>
    </w:p>
    <w:p>
      <w:pPr>
        <w:pStyle w:val="Heading2"/>
      </w:pPr>
      <w:r>
        <w:t>11.3 建立参数依赖图</w:t>
      </w:r>
    </w:p>
    <w:p>
      <w:r>
        <w:t>参数应沿“方案及定理 → 代数与采样约束 → 正确性误差 → 攻击估计 → 性能”确定，不能从希望的速度倒推不合法参数。至少覆盖以下内容：</w:t>
      </w:r>
    </w:p>
    <w:p>
      <w:pPr>
        <w:pStyle w:val="ListNumber"/>
      </w:pPr>
      <w:r>
        <w:t xml:space="preserve">维度、模数、gadget 基数和宽度，以及公矩阵接近均匀的条件。当前基本 IBS 的论文维度条件含 </w:t>
      </w:r>
      <m:oMath>
        <m:r>
          <m:t>m≥2nceil(</m:t>
        </m:r>
        <m:sSub>
          <m:e>
            <m:r>
              <m:rPr>
                <m:sty m:val="p"/>
              </m:rPr>
              <m:t>log</m:t>
            </m:r>
          </m:e>
          <m:sub>
            <m:r>
              <m:t>2</m:t>
            </m:r>
          </m:sub>
        </m:sSub>
        <m:r>
          <m:t>q)</m:t>
        </m:r>
      </m:oMath>
      <w:r>
        <w:t xml:space="preserve">；现有 </w:t>
      </w:r>
      <m:oMath>
        <m:r>
          <m:t>m=80</m:t>
        </m:r>
      </m:oMath>
      <w:r>
        <w:t xml:space="preserve"> 小于该值 144，是条件缺口之一，而不是全部问题。</w:t>
      </w:r>
    </w:p>
    <w:p>
      <w:pPr>
        <w:pStyle w:val="ListNumber"/>
      </w:pPr>
      <w:r>
        <w:t>各层陷门谱范数、平滑参数及预像采样宽度，委派后是否继续满足条件。</w:t>
      </w:r>
    </w:p>
    <w:p>
      <w:pPr>
        <w:pStyle w:val="ListNumber"/>
      </w:pPr>
      <w:r>
        <w:t>签名合法范数与验签阈值，归约输出的 SIS 界，以及允许的错误概率。</w:t>
      </w:r>
    </w:p>
    <w:p>
      <w:pPr>
        <w:pStyle w:val="ListNumber"/>
      </w:pPr>
      <w:r>
        <w:t>加密噪声、秘密分布、密钥噪声和消息编码，给出每比特与整条消息的解密失败界。</w:t>
      </w:r>
    </w:p>
    <w:p>
      <w:pPr>
        <w:pStyle w:val="ListNumber"/>
      </w:pPr>
      <w:r>
        <w:t>ROM 或 QROM 归约损失、允许查询次数、身份空间与提取器条件。</w:t>
      </w:r>
    </w:p>
    <w:p>
      <w:pPr>
        <w:pStyle w:val="ListNumber"/>
      </w:pPr>
      <w:r>
        <w:t>模矩阵、环和模格的结构化攻击及成本模型，并以最弱组件限制整体结论。</w:t>
      </w:r>
    </w:p>
    <w:p>
      <w:r>
        <w:t xml:space="preserve">高斯符号必须换算一致。若代码概率与 </w:t>
      </w:r>
      <m:oMath>
        <m:r>
          <m:rPr>
            <m:sty m:val="p"/>
          </m:rPr>
          <m:t>exp</m:t>
        </m:r>
        <m:r>
          <m:t>(−</m:t>
        </m:r>
        <m:sSup>
          <m:e>
            <m:r>
              <m:t>x</m:t>
            </m:r>
          </m:e>
          <m:sup>
            <m:r>
              <m:t>2</m:t>
            </m:r>
          </m:sup>
        </m:sSup>
        <m:r>
          <m:t>/(2</m:t>
        </m:r>
        <m:sSup>
          <m:e>
            <m:r>
              <m:t>σ</m:t>
            </m:r>
          </m:e>
          <m:sup>
            <m:r>
              <m:t>2</m:t>
            </m:r>
          </m:sup>
        </m:sSup>
        <m:r>
          <m:t>))</m:t>
        </m:r>
      </m:oMath>
      <w:r>
        <w:t xml:space="preserve"> 成比例，而论文采用 </w:t>
      </w:r>
      <m:oMath>
        <m:r>
          <m:rPr>
            <m:sty m:val="p"/>
          </m:rPr>
          <m:t>exp</m:t>
        </m:r>
        <m:r>
          <m:t>(−π</m:t>
        </m:r>
        <m:sSup>
          <m:e>
            <m:r>
              <m:t>x</m:t>
            </m:r>
          </m:e>
          <m:sup>
            <m:r>
              <m:t>2</m:t>
            </m:r>
          </m:sup>
        </m:sSup>
        <m:r>
          <m:t>/</m:t>
        </m:r>
        <m:sSup>
          <m:e>
            <m:r>
              <m:t>s</m:t>
            </m:r>
          </m:e>
          <m:sup>
            <m:r>
              <m:t>2</m:t>
            </m:r>
          </m:sup>
        </m:sSup>
        <m:r>
          <m:t>)</m:t>
        </m:r>
      </m:oMath>
      <w:r>
        <w:t xml:space="preserve">，则应使用 </w:t>
      </w:r>
      <m:oMath>
        <m:r>
          <m:t>s=</m:t>
        </m:r>
        <m:rad>
          <m:radPr>
            <m:degHide m:val="on"/>
          </m:radPr>
          <m:deg/>
          <m:e>
            <m:r>
              <m:t>2π</m:t>
            </m:r>
          </m:e>
        </m:rad>
        <m:r>
          <m:t>σ</m:t>
        </m:r>
      </m:oMath>
      <w:r>
        <w:t>。二者都叫“高斯参数”，仍不能数值直接照抄。</w:t>
      </w:r>
    </w:p>
    <w:p>
      <w:r>
        <w:t>固定选择“128 位”可以作为团队研究目标，但需明确是哪个成本模型下的估计值、哪些组件的归约，以及身份熵和统计误差等前提。不能把估计器输出的一列数字当作 NIST 等级或形式证明。</w:t>
      </w:r>
    </w:p>
    <w:p>
      <w:pPr>
        <w:pStyle w:val="Heading2"/>
      </w:pPr>
      <w:r>
        <w:t>11.4 攻击估计及失败概率记录</w:t>
      </w:r>
    </w:p>
    <w:p>
      <w:r>
        <w:t>使用 lattice-estimator 时应固定提交、依赖、成本模型、攻击列表和完整输入。对 LWE 记录秘密与误差分布、样本数、模数和维度；对 SIS 记录范数类型和归约范数；结构化问题采用适配的估计与额外检查。</w:t>
      </w:r>
      <w:r>
        <w:rPr>
          <w:rFonts w:ascii="Consolas" w:hAnsi="Consolas"/>
          <w:sz w:val="19"/>
        </w:rPr>
        <w:t>estimate.rough</w:t>
      </w:r>
      <w:r>
        <w:t xml:space="preserve"> 与完整估计可能采用不同模型，应区分。[S19]</w:t>
      </w:r>
    </w:p>
    <w:p>
      <w:r>
        <w:t>同时保留轻量自查：模线性代数稀疏解、格规约、公开方程和过大范数界、共享随机秘密的相关性、身份查询枚举。估计工具并不能代替这些更简单的攻击检查。</w:t>
      </w:r>
    </w:p>
    <w:p>
      <w:r>
        <w:t xml:space="preserve">“一万次合法解密全部通过”是功能证据，不能证明失败概率小于 </w:t>
      </w:r>
      <m:oMath>
        <m:sSup>
          <m:e>
            <m:r>
              <m:t>2</m:t>
            </m:r>
          </m:e>
          <m:sup>
            <m:r>
              <m:t>−128</m:t>
            </m:r>
          </m:sup>
        </m:sSup>
      </m:oMath>
      <w:r>
        <w:t xml:space="preserve">。例如在独立同分布且零失败的试验假设下，95% 置信上界量级约为 </w:t>
      </w:r>
      <m:oMath>
        <m:f>
          <m:fPr>
            <m:type m:val="lin"/>
          </m:fPr>
          <m:num>
            <m:r>
              <m:t>3</m:t>
            </m:r>
          </m:num>
          <m:den>
            <m:r>
              <m:t>N</m:t>
            </m:r>
          </m:den>
        </m:f>
      </m:oMath>
      <w:r>
        <w:t>；密码学所需的极小失败率仍依赖数学界与采样条件。</w:t>
      </w:r>
    </w:p>
    <w:p>
      <w:pPr>
        <w:pStyle w:val="Heading1"/>
      </w:pPr>
      <w:r>
        <w:t>12 软件架构与优化实现</w:t>
      </w:r>
    </w:p>
    <w:p>
      <w:pPr>
        <w:pStyle w:val="Heading2"/>
      </w:pPr>
      <w:r>
        <w:t>12.1 通用构造层与原语层分别配置</w:t>
      </w:r>
    </w:p>
    <w:p>
      <w:r>
        <w:t xml:space="preserve">建议新增完整的方案注册体系，让配置明确选择通用构造、加密后端、签名后端、提取器或证明系统、参数集及安全能力。HIBE 路线与 IBE 路线的接口不同，不应伪造一个没有意义的 </w:t>
      </w:r>
      <w:r>
        <w:rPr>
          <w:rFonts w:ascii="Consolas" w:hAnsi="Consolas"/>
          <w:sz w:val="19"/>
        </w:rPr>
        <w:t>derive</w:t>
      </w:r>
      <w:r>
        <w:t xml:space="preserve"> 来硬凑兼容。</w:t>
      </w:r>
    </w:p>
    <w:p>
      <w:r>
        <w:t xml:space="preserve">每个已注册方案附能力清单和版本标识。配置加载时检查所需能力，不兼容的匿名性、查询模型、环参数或状态语义直接报配置错误。教学、研究候选、已核验参考实现应有明确状态，不能仅凭参数名称叫作 </w:t>
      </w:r>
      <w:r>
        <w:rPr>
          <w:rFonts w:ascii="Consolas" w:hAnsi="Consolas"/>
          <w:sz w:val="19"/>
        </w:rPr>
        <w:t>production</w:t>
      </w:r>
      <w:r>
        <w:t>。</w:t>
      </w:r>
    </w:p>
    <w:p>
      <w:r>
        <w:t xml:space="preserve">HIBE 与 IBS 应分别配置参数，允许模数和维度不同。当前协议能够分别接受两套参数，这一点应继续保留。统一配置指统一管理和验证，不是强迫所有组件使用一个 </w:t>
      </w:r>
      <m:oMath>
        <m:r>
          <m:t>n</m:t>
        </m:r>
      </m:oMath>
      <w:r>
        <w:t xml:space="preserve"> 和一个 </w:t>
      </w:r>
      <m:oMath>
        <m:r>
          <m:t>q</m:t>
        </m:r>
      </m:oMath>
      <w:r>
        <w:t>。</w:t>
      </w:r>
    </w:p>
    <w:p>
      <w:pPr>
        <w:pStyle w:val="Heading2"/>
      </w:pPr>
      <w:r>
        <w:t>12.2 认证胶囊与大消息封装</w:t>
      </w:r>
    </w:p>
    <w:p>
      <w:r>
        <w:t>现在逐比特加密整个签名和消息，既产生巨大密文，也限制用户消息长度。应研究符合所选通用构造和安全目标的胶囊加消息体结构，使用格原语处理短密钥材料，以经论证的对称认证加密处理大消息。</w:t>
      </w:r>
    </w:p>
    <w:p>
      <w:r>
        <w:t>设计时必须明确：发送者身份、接收者身份、方案版本、密钥版本、格胶囊和消息体分别由哪一条签名或认证关系绑定；认证标签覆盖哪些规范字节；修改胶囊但保持解出的短密钥不变时能否被拒绝；消息体长度和随机 nonce 的策略是什么。若引入新组合，先给出安全论证与完整性定义，再做优化实现。</w:t>
      </w:r>
    </w:p>
    <w:p>
      <w:r>
        <w:t>不要在依赖关系中形成“签名包含密文，而密文又包含同一签名”的循环。先写清消息编码和计算顺序，核验安全定理能否复用。公开附加签名也可能破坏身份隐私，必须一起评估。</w:t>
      </w:r>
    </w:p>
    <w:p>
      <w:pPr>
        <w:pStyle w:val="Heading2"/>
      </w:pPr>
      <w:r>
        <w:t>12.3 数学参考与原生性能层</w:t>
      </w:r>
    </w:p>
    <w:p>
      <w:r>
        <w:t>先实现可审查的 Python 或 Sage 参考版本，再建立 C/C++ 运算层，以同一公开测试向量进行差分核对。优先优化实测耗时占比高的矩阵乘法、哈希展开、采样、委派、序列化及环乘法。</w:t>
      </w:r>
    </w:p>
    <w:p>
      <w:r>
        <w:t xml:space="preserve">若使用 Sage，按仓库规则在 WSL 的 </w:t>
      </w:r>
      <w:r>
        <w:rPr>
          <w:rFonts w:ascii="Consolas" w:hAnsi="Consolas"/>
          <w:sz w:val="19"/>
        </w:rPr>
        <w:t>~/miniconda3/envs/sage</w:t>
      </w:r>
      <w:r>
        <w:t xml:space="preserve"> 环境运行。文档和脚本使用这个可移植路径，不写死另一台机器的用户名。Python、Sage 与原生层应固定整数中心化和序列化规则。</w:t>
      </w:r>
    </w:p>
    <w:p>
      <w:r>
        <w:t>NTT 并不适用于随意的环和模数。必须检查根的存在、表示和变换长度；三进制 gadget 方案的模数也不能直接套用常见二进制环库。使用第三方实现时记录代码版本、许可、参数和所修改部分。</w:t>
      </w:r>
    </w:p>
    <w:p>
      <w:r>
        <w:t>可缓存身份公矩阵、哈希展开等确定性公开数据，并单独评测冷启动和缓存命中。秘密密钥缓存需要生命周期控制；加密随机秘密和噪声不得为了省运算跨消息复用。当前逐比特独立秘密是早期共享掩码泄漏问题修复的一部分，不能回退该修复来追求速度。</w:t>
      </w:r>
    </w:p>
    <w:p>
      <w:pPr>
        <w:pStyle w:val="Heading2"/>
      </w:pPr>
      <w:r>
        <w:t>12.4 运行可靠性与密钥管理</w:t>
      </w:r>
    </w:p>
    <w:p>
      <w:r>
        <w:t>软件应检查尺寸、模系数规范范围、整数溢出、重复字段、长度上限和资源上限。错误输入不能触发无限内存分配或严重异常。密钥与密文格式应可识别版本，跨后端、跨参数或跨主公钥的混用应被拒绝。</w:t>
      </w:r>
    </w:p>
    <w:p>
      <w:r>
        <w:t>展示软件中使用的主私钥应属于演示环境，不进入版本库或公开材料。发钥应校验身份归属，明确接收密钥和发送密钥的权限。撤销与密钥轮换可以用 epoch 等机制研究，但若改变身份语义，要写入协议与证明映射，不能仅在 UI 隐藏旧密钥。</w:t>
      </w:r>
    </w:p>
    <w:p>
      <w:pPr>
        <w:pStyle w:val="Heading1"/>
      </w:pPr>
      <w:r>
        <w:t>13 测试与对抗验证计划</w:t>
      </w:r>
    </w:p>
    <w:p>
      <w:pPr>
        <w:pStyle w:val="Heading2"/>
      </w:pPr>
      <w:r>
        <w:t>13.1 从现有测试扩展到赛题证据</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872"/>
        <w:gridCol w:w="3888"/>
        <w:gridCol w:w="4320"/>
      </w:tblGrid>
      <w:tr>
        <w:trPr>
          <w:cantSplit/>
          <w:tblHeader w:val="true"/>
        </w:trPr>
        <w:tc>
          <w:tcPr>
            <w:tcW w:type="dxa" w:w="1872"/>
            <w:vAlign w:val="center"/>
            <w:tcMar>
              <w:top w:w="85" w:type="dxa"/>
              <w:bottom w:w="85" w:type="dxa"/>
              <w:left w:w="100" w:type="dxa"/>
              <w:right w:w="100" w:type="dxa"/>
            </w:tcMar>
            <w:shd w:fill="17365D"/>
          </w:tcPr>
          <w:p>
            <w:pPr>
              <w:widowControl/>
              <w:spacing w:after="0" w:line="278" w:lineRule="auto"/>
              <w:jc w:val="center"/>
            </w:pPr>
            <w:r>
              <w:rPr>
                <w:b/>
                <w:color w:val="FFFFFF"/>
                <w:sz w:val="20"/>
              </w:rPr>
              <w:t>层级</w:t>
            </w:r>
          </w:p>
        </w:tc>
        <w:tc>
          <w:tcPr>
            <w:tcW w:type="dxa" w:w="3888"/>
            <w:vAlign w:val="center"/>
            <w:tcMar>
              <w:top w:w="85" w:type="dxa"/>
              <w:bottom w:w="85" w:type="dxa"/>
              <w:left w:w="100" w:type="dxa"/>
              <w:right w:w="100" w:type="dxa"/>
            </w:tcMar>
            <w:shd w:fill="17365D"/>
          </w:tcPr>
          <w:p>
            <w:pPr>
              <w:widowControl/>
              <w:spacing w:after="0" w:line="278" w:lineRule="auto"/>
              <w:jc w:val="center"/>
            </w:pPr>
            <w:r>
              <w:rPr>
                <w:b/>
                <w:color w:val="FFFFFF"/>
                <w:sz w:val="20"/>
              </w:rPr>
              <w:t>必测内容</w:t>
            </w:r>
          </w:p>
        </w:tc>
        <w:tc>
          <w:tcPr>
            <w:tcW w:type="dxa" w:w="4320"/>
            <w:vAlign w:val="center"/>
            <w:tcMar>
              <w:top w:w="85" w:type="dxa"/>
              <w:bottom w:w="85" w:type="dxa"/>
              <w:left w:w="100" w:type="dxa"/>
              <w:right w:w="100" w:type="dxa"/>
            </w:tcMar>
            <w:shd w:fill="17365D"/>
          </w:tcPr>
          <w:p>
            <w:pPr>
              <w:widowControl/>
              <w:spacing w:after="0" w:line="278" w:lineRule="auto"/>
              <w:jc w:val="center"/>
            </w:pPr>
            <w:r>
              <w:rPr>
                <w:b/>
                <w:color w:val="FFFFFF"/>
                <w:sz w:val="20"/>
              </w:rPr>
              <w:t>所支撑的结论</w:t>
            </w:r>
          </w:p>
        </w:tc>
      </w:tr>
      <w:tr>
        <w:trPr>
          <w:cantSplit/>
        </w:trPr>
        <w:tc>
          <w:tcPr>
            <w:tcW w:type="dxa" w:w="1872"/>
            <w:vAlign w:val="center"/>
            <w:tcMar>
              <w:top w:w="85" w:type="dxa"/>
              <w:bottom w:w="85" w:type="dxa"/>
              <w:left w:w="100" w:type="dxa"/>
              <w:right w:w="100" w:type="dxa"/>
            </w:tcMar>
            <w:shd w:fill="F2F5F8"/>
          </w:tcPr>
          <w:p>
            <w:pPr>
              <w:widowControl/>
              <w:spacing w:after="0" w:line="278" w:lineRule="auto"/>
            </w:pPr>
            <w:r>
              <w:rPr>
                <w:sz w:val="20"/>
              </w:rPr>
              <w:t>代数</w:t>
            </w:r>
          </w:p>
        </w:tc>
        <w:tc>
          <w:tcPr>
            <w:tcW w:type="dxa" w:w="3888"/>
            <w:vAlign w:val="center"/>
            <w:tcMar>
              <w:top w:w="85" w:type="dxa"/>
              <w:bottom w:w="85" w:type="dxa"/>
              <w:left w:w="100" w:type="dxa"/>
              <w:right w:w="100" w:type="dxa"/>
            </w:tcMar>
            <w:shd w:fill="F2F5F8"/>
          </w:tcPr>
          <w:p>
            <w:pPr>
              <w:widowControl/>
              <w:spacing w:after="0" w:line="278" w:lineRule="auto"/>
            </w:pPr>
            <w:r>
              <w:rPr>
                <w:sz w:val="20"/>
              </w:rPr>
              <w:t>矩阵维度 模运算 陷门关系 签名方程</w:t>
            </w:r>
          </w:p>
        </w:tc>
        <w:tc>
          <w:tcPr>
            <w:tcW w:type="dxa" w:w="4320"/>
            <w:vAlign w:val="center"/>
            <w:tcMar>
              <w:top w:w="85" w:type="dxa"/>
              <w:bottom w:w="85" w:type="dxa"/>
              <w:left w:w="100" w:type="dxa"/>
              <w:right w:w="100" w:type="dxa"/>
            </w:tcMar>
            <w:shd w:fill="F2F5F8"/>
          </w:tcPr>
          <w:p>
            <w:pPr>
              <w:widowControl/>
              <w:spacing w:after="0" w:line="278" w:lineRule="auto"/>
            </w:pPr>
            <w:r>
              <w:rPr>
                <w:sz w:val="20"/>
              </w:rPr>
              <w:t>实现满足数学关系</w:t>
            </w:r>
          </w:p>
        </w:tc>
      </w:tr>
      <w:tr>
        <w:trPr>
          <w:cantSplit/>
        </w:trPr>
        <w:tc>
          <w:tcPr>
            <w:tcW w:type="dxa" w:w="1872"/>
            <w:vAlign w:val="center"/>
            <w:tcMar>
              <w:top w:w="85" w:type="dxa"/>
              <w:bottom w:w="85" w:type="dxa"/>
              <w:left w:w="100" w:type="dxa"/>
              <w:right w:w="100" w:type="dxa"/>
            </w:tcMar>
            <w:shd w:fill="FFFFFF"/>
          </w:tcPr>
          <w:p>
            <w:pPr>
              <w:widowControl/>
              <w:spacing w:after="0" w:line="278" w:lineRule="auto"/>
            </w:pPr>
            <w:r>
              <w:rPr>
                <w:sz w:val="20"/>
              </w:rPr>
              <w:t>采样</w:t>
            </w:r>
          </w:p>
        </w:tc>
        <w:tc>
          <w:tcPr>
            <w:tcW w:type="dxa" w:w="3888"/>
            <w:vAlign w:val="center"/>
            <w:tcMar>
              <w:top w:w="85" w:type="dxa"/>
              <w:bottom w:w="85" w:type="dxa"/>
              <w:left w:w="100" w:type="dxa"/>
              <w:right w:w="100" w:type="dxa"/>
            </w:tcMar>
            <w:shd w:fill="FFFFFF"/>
          </w:tcPr>
          <w:p>
            <w:pPr>
              <w:widowControl/>
              <w:spacing w:after="0" w:line="278" w:lineRule="auto"/>
            </w:pPr>
            <w:r>
              <w:rPr>
                <w:sz w:val="20"/>
              </w:rPr>
              <w:t>标量及目标余类分布 截断误差 统计比较</w:t>
            </w:r>
          </w:p>
        </w:tc>
        <w:tc>
          <w:tcPr>
            <w:tcW w:type="dxa" w:w="4320"/>
            <w:vAlign w:val="center"/>
            <w:tcMar>
              <w:top w:w="85" w:type="dxa"/>
              <w:bottom w:w="85" w:type="dxa"/>
              <w:left w:w="100" w:type="dxa"/>
              <w:right w:w="100" w:type="dxa"/>
            </w:tcMar>
            <w:shd w:fill="FFFFFF"/>
          </w:tcPr>
          <w:p>
            <w:pPr>
              <w:widowControl/>
              <w:spacing w:after="0" w:line="278" w:lineRule="auto"/>
            </w:pPr>
            <w:r>
              <w:rPr>
                <w:sz w:val="20"/>
              </w:rPr>
              <w:t>发现实现偏差并辅助条件核验</w:t>
            </w:r>
          </w:p>
        </w:tc>
      </w:tr>
      <w:tr>
        <w:trPr>
          <w:cantSplit/>
        </w:trPr>
        <w:tc>
          <w:tcPr>
            <w:tcW w:type="dxa" w:w="1872"/>
            <w:vAlign w:val="center"/>
            <w:tcMar>
              <w:top w:w="85" w:type="dxa"/>
              <w:bottom w:w="85" w:type="dxa"/>
              <w:left w:w="100" w:type="dxa"/>
              <w:right w:w="100" w:type="dxa"/>
            </w:tcMar>
            <w:shd w:fill="F2F5F8"/>
          </w:tcPr>
          <w:p>
            <w:pPr>
              <w:widowControl/>
              <w:spacing w:after="0" w:line="278" w:lineRule="auto"/>
            </w:pPr>
            <w:r>
              <w:rPr>
                <w:sz w:val="20"/>
              </w:rPr>
              <w:t>序列化</w:t>
            </w:r>
          </w:p>
        </w:tc>
        <w:tc>
          <w:tcPr>
            <w:tcW w:type="dxa" w:w="3888"/>
            <w:vAlign w:val="center"/>
            <w:tcMar>
              <w:top w:w="85" w:type="dxa"/>
              <w:bottom w:w="85" w:type="dxa"/>
              <w:left w:w="100" w:type="dxa"/>
              <w:right w:w="100" w:type="dxa"/>
            </w:tcMar>
            <w:shd w:fill="F2F5F8"/>
          </w:tcPr>
          <w:p>
            <w:pPr>
              <w:widowControl/>
              <w:spacing w:after="0" w:line="278" w:lineRule="auto"/>
            </w:pPr>
            <w:r>
              <w:rPr>
                <w:sz w:val="20"/>
              </w:rPr>
              <w:t>往返 规范编码 截断 追加 重复字段 超长输入</w:t>
            </w:r>
          </w:p>
        </w:tc>
        <w:tc>
          <w:tcPr>
            <w:tcW w:type="dxa" w:w="4320"/>
            <w:vAlign w:val="center"/>
            <w:tcMar>
              <w:top w:w="85" w:type="dxa"/>
              <w:bottom w:w="85" w:type="dxa"/>
              <w:left w:w="100" w:type="dxa"/>
              <w:right w:w="100" w:type="dxa"/>
            </w:tcMar>
            <w:shd w:fill="F2F5F8"/>
          </w:tcPr>
          <w:p>
            <w:pPr>
              <w:widowControl/>
              <w:spacing w:after="0" w:line="278" w:lineRule="auto"/>
            </w:pPr>
            <w:r>
              <w:rPr>
                <w:sz w:val="20"/>
              </w:rPr>
              <w:t>格式明确并能拒绝非法输入</w:t>
            </w:r>
          </w:p>
        </w:tc>
      </w:tr>
      <w:tr>
        <w:trPr>
          <w:cantSplit/>
        </w:trPr>
        <w:tc>
          <w:tcPr>
            <w:tcW w:type="dxa" w:w="1872"/>
            <w:vAlign w:val="center"/>
            <w:tcMar>
              <w:top w:w="85" w:type="dxa"/>
              <w:bottom w:w="85" w:type="dxa"/>
              <w:left w:w="100" w:type="dxa"/>
              <w:right w:w="100" w:type="dxa"/>
            </w:tcMar>
            <w:shd w:fill="FFFFFF"/>
          </w:tcPr>
          <w:p>
            <w:pPr>
              <w:widowControl/>
              <w:spacing w:after="0" w:line="278" w:lineRule="auto"/>
            </w:pPr>
            <w:r>
              <w:rPr>
                <w:sz w:val="20"/>
              </w:rPr>
              <w:t>协议</w:t>
            </w:r>
          </w:p>
        </w:tc>
        <w:tc>
          <w:tcPr>
            <w:tcW w:type="dxa" w:w="3888"/>
            <w:vAlign w:val="center"/>
            <w:tcMar>
              <w:top w:w="85" w:type="dxa"/>
              <w:bottom w:w="85" w:type="dxa"/>
              <w:left w:w="100" w:type="dxa"/>
              <w:right w:w="100" w:type="dxa"/>
            </w:tcMar>
            <w:shd w:fill="FFFFFF"/>
          </w:tcPr>
          <w:p>
            <w:pPr>
              <w:widowControl/>
              <w:spacing w:after="0" w:line="278" w:lineRule="auto"/>
            </w:pPr>
            <w:r>
              <w:rPr>
                <w:sz w:val="20"/>
              </w:rPr>
              <w:t>双方正确 三种错误匹配 多用户多消息</w:t>
            </w:r>
          </w:p>
        </w:tc>
        <w:tc>
          <w:tcPr>
            <w:tcW w:type="dxa" w:w="4320"/>
            <w:vAlign w:val="center"/>
            <w:tcMar>
              <w:top w:w="85" w:type="dxa"/>
              <w:bottom w:w="85" w:type="dxa"/>
              <w:left w:w="100" w:type="dxa"/>
              <w:right w:w="100" w:type="dxa"/>
            </w:tcMar>
            <w:shd w:fill="FFFFFF"/>
          </w:tcPr>
          <w:p>
            <w:pPr>
              <w:widowControl/>
              <w:spacing w:after="0" w:line="278" w:lineRule="auto"/>
            </w:pPr>
            <w:r>
              <w:rPr>
                <w:sz w:val="20"/>
              </w:rPr>
              <w:t>功能语义及批量运行正确</w:t>
            </w:r>
          </w:p>
        </w:tc>
      </w:tr>
      <w:tr>
        <w:trPr>
          <w:cantSplit/>
        </w:trPr>
        <w:tc>
          <w:tcPr>
            <w:tcW w:type="dxa" w:w="1872"/>
            <w:vAlign w:val="center"/>
            <w:tcMar>
              <w:top w:w="85" w:type="dxa"/>
              <w:bottom w:w="85" w:type="dxa"/>
              <w:left w:w="100" w:type="dxa"/>
              <w:right w:w="100" w:type="dxa"/>
            </w:tcMar>
            <w:shd w:fill="F2F5F8"/>
          </w:tcPr>
          <w:p>
            <w:pPr>
              <w:widowControl/>
              <w:spacing w:after="0" w:line="278" w:lineRule="auto"/>
            </w:pPr>
            <w:r>
              <w:rPr>
                <w:sz w:val="20"/>
              </w:rPr>
              <w:t>密钥一致性</w:t>
            </w:r>
          </w:p>
        </w:tc>
        <w:tc>
          <w:tcPr>
            <w:tcW w:type="dxa" w:w="3888"/>
            <w:vAlign w:val="center"/>
            <w:tcMar>
              <w:top w:w="85" w:type="dxa"/>
              <w:bottom w:w="85" w:type="dxa"/>
              <w:left w:w="100" w:type="dxa"/>
              <w:right w:w="100" w:type="dxa"/>
            </w:tcMar>
            <w:shd w:fill="F2F5F8"/>
          </w:tcPr>
          <w:p>
            <w:pPr>
              <w:widowControl/>
              <w:spacing w:after="0" w:line="278" w:lineRule="auto"/>
            </w:pPr>
            <w:r>
              <w:rPr>
                <w:sz w:val="20"/>
              </w:rPr>
              <w:t>重复取钥 重复签名 多进程 重启</w:t>
            </w:r>
          </w:p>
        </w:tc>
        <w:tc>
          <w:tcPr>
            <w:tcW w:type="dxa" w:w="4320"/>
            <w:vAlign w:val="center"/>
            <w:tcMar>
              <w:top w:w="85" w:type="dxa"/>
              <w:bottom w:w="85" w:type="dxa"/>
              <w:left w:w="100" w:type="dxa"/>
              <w:right w:w="100" w:type="dxa"/>
            </w:tcMar>
            <w:shd w:fill="F2F5F8"/>
          </w:tcPr>
          <w:p>
            <w:pPr>
              <w:widowControl/>
              <w:spacing w:after="0" w:line="278" w:lineRule="auto"/>
            </w:pPr>
            <w:r>
              <w:rPr>
                <w:sz w:val="20"/>
              </w:rPr>
              <w:t>实现符合论文状态和查询模型</w:t>
            </w:r>
          </w:p>
        </w:tc>
      </w:tr>
      <w:tr>
        <w:trPr>
          <w:cantSplit/>
        </w:trPr>
        <w:tc>
          <w:tcPr>
            <w:tcW w:type="dxa" w:w="1872"/>
            <w:vAlign w:val="center"/>
            <w:tcMar>
              <w:top w:w="85" w:type="dxa"/>
              <w:bottom w:w="85" w:type="dxa"/>
              <w:left w:w="100" w:type="dxa"/>
              <w:right w:w="100" w:type="dxa"/>
            </w:tcMar>
            <w:shd w:fill="FFFFFF"/>
          </w:tcPr>
          <w:p>
            <w:pPr>
              <w:widowControl/>
              <w:spacing w:after="0" w:line="278" w:lineRule="auto"/>
            </w:pPr>
            <w:r>
              <w:rPr>
                <w:sz w:val="20"/>
              </w:rPr>
              <w:t>对抗</w:t>
            </w:r>
          </w:p>
        </w:tc>
        <w:tc>
          <w:tcPr>
            <w:tcW w:type="dxa" w:w="3888"/>
            <w:vAlign w:val="center"/>
            <w:tcMar>
              <w:top w:w="85" w:type="dxa"/>
              <w:bottom w:w="85" w:type="dxa"/>
              <w:left w:w="100" w:type="dxa"/>
              <w:right w:w="100" w:type="dxa"/>
            </w:tcMar>
            <w:shd w:fill="FFFFFF"/>
          </w:tcPr>
          <w:p>
            <w:pPr>
              <w:widowControl/>
              <w:spacing w:after="0" w:line="278" w:lineRule="auto"/>
            </w:pPr>
            <w:r>
              <w:rPr>
                <w:sz w:val="20"/>
              </w:rPr>
              <w:t>公共参数伪造 自我伪造 胶囊篡改 身份枚举</w:t>
            </w:r>
          </w:p>
        </w:tc>
        <w:tc>
          <w:tcPr>
            <w:tcW w:type="dxa" w:w="4320"/>
            <w:vAlign w:val="center"/>
            <w:tcMar>
              <w:top w:w="85" w:type="dxa"/>
              <w:bottom w:w="85" w:type="dxa"/>
              <w:left w:w="100" w:type="dxa"/>
              <w:right w:w="100" w:type="dxa"/>
            </w:tcMar>
            <w:shd w:fill="FFFFFF"/>
          </w:tcPr>
          <w:p>
            <w:pPr>
              <w:widowControl/>
              <w:spacing w:after="0" w:line="278" w:lineRule="auto"/>
            </w:pPr>
            <w:r>
              <w:rPr>
                <w:sz w:val="20"/>
              </w:rPr>
              <w:t>检查具体攻击与回归</w:t>
            </w:r>
          </w:p>
        </w:tc>
      </w:tr>
      <w:tr>
        <w:trPr>
          <w:cantSplit/>
        </w:trPr>
        <w:tc>
          <w:tcPr>
            <w:tcW w:type="dxa" w:w="1872"/>
            <w:vAlign w:val="center"/>
            <w:tcMar>
              <w:top w:w="85" w:type="dxa"/>
              <w:bottom w:w="85" w:type="dxa"/>
              <w:left w:w="100" w:type="dxa"/>
              <w:right w:w="100" w:type="dxa"/>
            </w:tcMar>
            <w:shd w:fill="F2F5F8"/>
          </w:tcPr>
          <w:p>
            <w:pPr>
              <w:widowControl/>
              <w:spacing w:after="0" w:line="278" w:lineRule="auto"/>
            </w:pPr>
            <w:r>
              <w:rPr>
                <w:sz w:val="20"/>
              </w:rPr>
              <w:t>优化差分</w:t>
            </w:r>
          </w:p>
        </w:tc>
        <w:tc>
          <w:tcPr>
            <w:tcW w:type="dxa" w:w="3888"/>
            <w:vAlign w:val="center"/>
            <w:tcMar>
              <w:top w:w="85" w:type="dxa"/>
              <w:bottom w:w="85" w:type="dxa"/>
              <w:left w:w="100" w:type="dxa"/>
              <w:right w:w="100" w:type="dxa"/>
            </w:tcMar>
            <w:shd w:fill="F2F5F8"/>
          </w:tcPr>
          <w:p>
            <w:pPr>
              <w:widowControl/>
              <w:spacing w:after="0" w:line="278" w:lineRule="auto"/>
            </w:pPr>
            <w:r>
              <w:rPr>
                <w:sz w:val="20"/>
              </w:rPr>
              <w:t>参考层与原生层的中间量及最终结果</w:t>
            </w:r>
          </w:p>
        </w:tc>
        <w:tc>
          <w:tcPr>
            <w:tcW w:type="dxa" w:w="4320"/>
            <w:vAlign w:val="center"/>
            <w:tcMar>
              <w:top w:w="85" w:type="dxa"/>
              <w:bottom w:w="85" w:type="dxa"/>
              <w:left w:w="100" w:type="dxa"/>
              <w:right w:w="100" w:type="dxa"/>
            </w:tcMar>
            <w:shd w:fill="F2F5F8"/>
          </w:tcPr>
          <w:p>
            <w:pPr>
              <w:widowControl/>
              <w:spacing w:after="0" w:line="278" w:lineRule="auto"/>
            </w:pPr>
            <w:r>
              <w:rPr>
                <w:sz w:val="20"/>
              </w:rPr>
              <w:t>优化实现保留算法行为</w:t>
            </w:r>
          </w:p>
        </w:tc>
      </w:tr>
    </w:tbl>
    <w:p>
      <w:pPr>
        <w:spacing w:after="60" w:before="0" w:line="120" w:lineRule="auto"/>
      </w:pPr>
      <w:r>
        <w:rPr>
          <w:sz w:val="4"/>
        </w:rPr>
      </w:r>
    </w:p>
    <w:p>
      <w:r>
        <w:t>随机错误签名测试只是其中一类。必须保留当前线性代数攻击作为修复核验：目标是让公开构造的攻击密文被拒绝，同时保证合法签名和解密全部成功。既有攻击脚本成功返回退出码 0，只表示攻击演示运行成功，不能在持续集成中误写为“安全测试通过”。</w:t>
      </w:r>
    </w:p>
    <w:p>
      <w:r>
        <w:t>对密文头、版本、参数标识、格胶囊各系数、签名、消息体和认证标签分别做定向篡改。当前一字节可接受反例应成为新组合的明确回归用例。还需测试换接收者、换发送者、跨系统公钥、重放和旧密钥版本；重放是否拒绝由应用策略决定，应单独记录。</w:t>
      </w:r>
    </w:p>
    <w:p>
      <w:r>
        <w:t>建议为最终批量正确性设定覆盖身份长度、中文和 UTF-8 编码、空消息、边界长度、多个发送者与接收者的试验集。例如可设一万组作为内部阶段目标，但这不是官方固定次数，也不允许丢弃失败样本再报“全部通过”。</w:t>
      </w:r>
    </w:p>
    <w:p>
      <w:r>
        <w:t>增强隐私测试应允许恶意接收者观察中间值，并研究低熵身份枚举。测试可发现问题，定理与身份熵论证才支撑完整安全结论。不能把客户端界面不显示消息当作测试通过。</w:t>
      </w:r>
    </w:p>
    <w:p>
      <w:pPr>
        <w:pStyle w:val="Heading2"/>
      </w:pPr>
      <w:r>
        <w:t>13.2 可复现记录格式</w:t>
      </w:r>
    </w:p>
    <w:p>
      <w:r>
        <w:t>每次记录源代码提交、参数及方案版本、原语论文版本、实验种子或生产随机模式、身份和消息长度、重复次数、环境、成功与失败数、原始数据、统计脚本及安全声明。生产密钥和生产随机秘密不能为了复现公开。</w:t>
      </w:r>
    </w:p>
    <w:p>
      <w:r>
        <w:t>建议提供已知答案测试向量和跨语言测试向量。秘密相关向量只使用专用测试种子，并标明不可用于实际通信。论文安全参数测试和教学参数测试分开运行和出图。</w:t>
      </w:r>
    </w:p>
    <w:p>
      <w:pPr>
        <w:pStyle w:val="Heading1"/>
      </w:pPr>
      <w:r>
        <w:t>14 性能评测与创新证据</w:t>
      </w:r>
    </w:p>
    <w:p>
      <w:pPr>
        <w:pStyle w:val="Heading2"/>
      </w:pPr>
      <w:r>
        <w:t>14.1 比较维度与统计口径</w:t>
      </w:r>
    </w:p>
    <w:p>
      <w:r>
        <w:t>完整评测应同时有“不同方案”和“不同参数”两条轴，再按消息长度、身份长度、线程数和优化开关展开。可选消息长度包括 0、32、256、1024 字节及更大消息；不支持某个长度的方案如实记录上限或采用一致且经过论证的消息封装。</w:t>
      </w:r>
    </w:p>
    <w:p>
      <w:r>
        <w:t>测量对象应区分系统公钥、主密钥、发送者密钥、接收者密钥、委派密钥、裸签名、格胶囊、消息体、完整密文和序列化开销。时间应区分系统建立、两类发钥、委派、签名、验签、加密、解密和完整用户操作。</w:t>
      </w:r>
    </w:p>
    <w:p>
      <w:r>
        <w:t xml:space="preserve">运行报告至少有中位数、四分位距及必要时的 p95，注明预热、重复次数、线程和缓存条件。内存测进程峰值 RSS，并解释原生分配与 Python 对象内存；只报 </w:t>
      </w:r>
      <w:r>
        <w:rPr>
          <w:rFonts w:ascii="Consolas" w:hAnsi="Consolas"/>
          <w:sz w:val="19"/>
        </w:rPr>
        <w:t>tracemalloc</w:t>
      </w:r>
      <w:r>
        <w:t xml:space="preserve"> 不能覆盖 C/C++ 后端的全部内存。</w:t>
      </w:r>
    </w:p>
    <w:p>
      <w:r>
        <w:t>同等安全目标下比较需要同时控制攻击模型、证明损失、消息和身份长度、失败概率与能力。较弱隐私、不同认证模型或没有匿名性的方案可以作为单独参照，不能直接排在“最安全且最快”同一序列中。</w:t>
      </w:r>
    </w:p>
    <w:p>
      <w:pPr>
        <w:pStyle w:val="Heading2"/>
      </w:pPr>
      <w:r>
        <w:t>14.2 建议形成的图表</w:t>
      </w:r>
    </w:p>
    <w:p>
      <w:r>
        <w:t>建议给出安全能力矩阵、参数及估计摘要、密文组成图、时间分解图、长度与加密时间曲线、签名压缩收益、缓存与线程消融，以及尺寸时间内存的综合比较。所有图表可追溯到原始 JSON 或 CSV。</w:t>
      </w:r>
    </w:p>
    <w:p>
      <w:r>
        <w:t>特别值得研究“短签名是否仍是主瓶颈”。当前逐比特封装会极大放大签名尺寸；换成胶囊消息体结构后，胶囊或采样时间可能成为主成本。优化对象会随构造改变，应由新基准决定，而不是只沿着旧原型的性能比例做决策。</w:t>
      </w:r>
    </w:p>
    <w:p>
      <w:pPr>
        <w:pStyle w:val="Heading2"/>
      </w:pPr>
      <w:r>
        <w:t>14.3 可形成项目贡献的研究问题</w:t>
      </w:r>
    </w:p>
    <w:p>
      <w:r>
        <w:t>可以选择以下问题作为主要贡献，但需要结果出来后才能宣称收益或创新：在相同认证模型下，完整 IBS 候选的签名与采样成本差异；在相同通用构造下，矩阵与环格实例的尺寸及委派成本差异；模格匿名 IBE 与矩阵 IBS 混合组合的实际瓶颈；认证胶囊方案对篡改拒绝和大消息效率的影响；缓存、序列化和原生运算的安全保持优化。</w:t>
      </w:r>
    </w:p>
    <w:p>
      <w:r>
        <w:t>建议选择一项主要研究问题，加一项工程优化形成清晰主线。多写几种算法并不自动形成创新；复现已有论文应标注为复现，新的组合或参数选择需要解释证明依据，原创安全构造则必须经过更严格审查。</w:t>
      </w:r>
    </w:p>
    <w:p>
      <w:pPr>
        <w:pStyle w:val="Heading1"/>
      </w:pPr>
      <w:r>
        <w:t>15 按成果验收推进的工作包</w:t>
      </w:r>
    </w:p>
    <w:p>
      <w:r>
        <w:t>本计划没有按日期压缩范围。每个工作包完成后，以可审查的文件、代码和实验过关，再推进依赖任务。理论、原语、工程和评测可以按明确接口分工，具体人员由团队自行安排。</w:t>
      </w:r>
    </w:p>
    <w:p>
      <w:pPr>
        <w:pStyle w:val="Heading2"/>
      </w:pPr>
      <w:r>
        <w:t>15.1 G0 明确目标与材料版本</w:t>
      </w:r>
    </w:p>
    <w:p>
      <w:r>
        <w:t>输出更新后的安全目标、赛题对应表、文献和代码版本目录，以及用户身份、系统中心和密钥复用的应用语义。归档近期论文的版本与哈希，取得目前只有摘要的优先候选全文。</w:t>
      </w:r>
    </w:p>
    <w:p>
      <w:r>
        <w:t>验收条件是每项核心性质都有可定位的定义和候选定理；未核验前提明确列出，官方要求与内部目标分开。这个阶段要修订旧接口规范的适用范围，不能让新的 IBE 路线默默违反旧 HIBE 接口。</w:t>
      </w:r>
    </w:p>
    <w:p>
      <w:pPr>
        <w:pStyle w:val="Heading2"/>
      </w:pPr>
      <w:r>
        <w:t>15.2 G1 精确选型与证明映射</w:t>
      </w:r>
    </w:p>
    <w:p>
      <w:r>
        <w:t>输出完整 IBME 路线比较、每个候选原语的算法定理对应表、状态和查询一致性审查，以及主路线与参考路线决定。优先读取 Yu 等 TCS 2026、Li Qin Boyen ACISP 2026 和当前 Chiku 修订稿的相关安全定义。</w:t>
      </w:r>
    </w:p>
    <w:p>
      <w:r>
        <w:t>验收条件是所有组合前提都有满足它们的具体候选；不能用“可能匿名”或“应该满足 UF-CMA”放行。若需要新的转换或完整性组合，应写出独立论证。</w:t>
      </w:r>
    </w:p>
    <w:p>
      <w:pPr>
        <w:pStyle w:val="Heading2"/>
      </w:pPr>
      <w:r>
        <w:t>15.3 G2 陷门 采样与参数体系</w:t>
      </w:r>
    </w:p>
    <w:p>
      <w:r>
        <w:t>输出数学参考实现、采样分布说明、参数约束检查器、攻击估计输入和固定版本结果、正确性与失败界说明。根据候选实现二进制或三进制 gadget、矩阵或环上的陷门，而不是修改符号后共用错误算法。</w:t>
      </w:r>
    </w:p>
    <w:p>
      <w:r>
        <w:t>验收条件是所有参数满足选用定理和采样要求，公开稀疏解等基础攻击检查完成，合法运行具有明确正确性依据。尚未达到目标安全成本的参数保持教学或研究标识。</w:t>
      </w:r>
    </w:p>
    <w:p>
      <w:pPr>
        <w:pStyle w:val="Heading2"/>
      </w:pPr>
      <w:r>
        <w:t>15.4 G3 完整 LWE SIS 参考实例</w:t>
      </w:r>
    </w:p>
    <w:p>
      <w:r>
        <w:t>输出论文算法一致的原语、完整认证组合、序列化、公共测试向量、四种身份匹配和自我伪造篡改测试。可以保留当前教学后端，但作为单独参照。</w:t>
      </w:r>
    </w:p>
    <w:p>
      <w:r>
        <w:t>验收条件是实际完整实例满足选定安全模型，当前公开参数伪造和一字节篡改反例在新目标组合中得到处理，合法批量测试全部通过。接口测试通过与安全证明映射均需提供。</w:t>
      </w:r>
    </w:p>
    <w:p>
      <w:pPr>
        <w:pStyle w:val="Heading2"/>
      </w:pPr>
      <w:r>
        <w:t>15.5 G4 结构化格和第二套实例</w:t>
      </w:r>
    </w:p>
    <w:p>
      <w:r>
        <w:t>输出环格 IBS 或直接环格 IBME 的完整实例研究，模格匿名 IBE 的具体参数与实现，并构成至少另一套可切换的真实方案或组合。纯 Module-SIS IBS 若没有成熟可核验候选，应另列研究课题，不冒充完成。</w:t>
      </w:r>
    </w:p>
    <w:p>
      <w:r>
        <w:t>验收条件是第二套实例实际端到端运行，能力清单与第一套可比，所有参数、环和模结构明确。若最终选择混合方案，说明其各组件假设，不把混合实例标成纯模格。</w:t>
      </w:r>
    </w:p>
    <w:p>
      <w:pPr>
        <w:pStyle w:val="Heading2"/>
      </w:pPr>
      <w:r>
        <w:t>15.6 G5 优化与公平评测</w:t>
      </w:r>
    </w:p>
    <w:p>
      <w:r>
        <w:t>输出原生运算层、尺寸和速度优化、参考差分测试、统一性能入口及原始数据。针对签名、胶囊、委派、采样与序列化分别进行消融。</w:t>
      </w:r>
    </w:p>
    <w:p>
      <w:r>
        <w:t>验收条件是优化没有改变未论证的分布或复用秘密随机数，收益在同样参数与能力下复现，时间与内存均有记录。没有改善的指标和优化代价同样披露。</w:t>
      </w:r>
    </w:p>
    <w:p>
      <w:pPr>
        <w:pStyle w:val="Heading2"/>
      </w:pPr>
      <w:r>
        <w:t>15.7 G6 应用演示与最终交付</w:t>
      </w:r>
    </w:p>
    <w:p>
      <w:r>
        <w:t>输出演示软件、技术报告、测试报告、参数与安全报告、第三方来源说明、复现指南及答辩材料。建议演示匿名公告板或双方身份匹配的消息交换场景，展示合法匹配、三类错配、公开伪造和密文篡改拒绝、实例切换和性能结果。</w:t>
      </w:r>
    </w:p>
    <w:p>
      <w:r>
        <w:t>验收条件是从干净环境可按文档完成演示，默认配置具有明确状态，演示数据与主私钥可安全重建，所有展示数字都能追溯到提交和实验记录。答辩能解释采样、身份绑定、密钥复用、参数与攻击，而非只能操作界面。</w:t>
      </w:r>
    </w:p>
    <w:p>
      <w:pPr>
        <w:pStyle w:val="Heading1"/>
      </w:pPr>
      <w:r>
        <w:t>16 接下来应优先研究的技术问题</w:t>
      </w:r>
    </w:p>
    <w:p>
      <w:r>
        <w:t>第一，赛题的自我伪造和完整性要求具体对应哪一种认证游戏？要从几篇 IBME 的定义比较开始，确认恶意接收者权限、重复发送密钥和解密查询，再确定主协议。</w:t>
      </w:r>
    </w:p>
    <w:p>
      <w:r>
        <w:t>第二，选择 HIBE 委派还是匿名 IBE 组合？要比较完整定理、采样、身份熵、额外提取器或证明系统，以及具体运行成本。普通 IBE 可减少委派不等于整体一定更快。</w:t>
      </w:r>
    </w:p>
    <w:p>
      <w:r>
        <w:t>第三，Foo Li、Sageloli 等和 Wang 完整转换版本在同一密钥复用模型下，哪些能够直接满足所选通用构造？要取得完整参数并实现必要秘密种子、状态和采样，不能只对裸方程测速。</w:t>
      </w:r>
    </w:p>
    <w:p>
      <w:r>
        <w:t>第四，如何得到兼顾失败界与攻击成本的真实参数？需要谱范数界、Gaussian 参数换算、各阶段噪声和归约损失，随后才使用固定版本估计器。</w:t>
      </w:r>
    </w:p>
    <w:p>
      <w:r>
        <w:t>第五，哪些结构化格候选能形成真正完整的实例？已有模格匿名 IBE 和环格 IBS 可以作为入口；Module-SIS 身份签名和匿名 HIBE 的困难不应被普通 KEM 或签名名称掩盖。</w:t>
      </w:r>
    </w:p>
    <w:p>
      <w:r>
        <w:t>第六，大消息封装如何同时保护胶囊与消息体并保持身份隐私？这个问题应先写计算顺序、安全论证和篡改实验，再进入优化层。它可能比单纯减少若干签名系数更影响最终系统。</w:t>
      </w:r>
    </w:p>
    <w:p>
      <w:r>
        <w:t>这些问题都可以继续推进，无需先确认截止日期。AI 可以帮助搜集材料、推导、编写代码和交叉核验，但模型生成的证明与参数仍需回到论文、数学约束和实验验证；重复生成同一结论不等于独立证据。</w:t>
      </w:r>
    </w:p>
    <w:p>
      <w:pPr>
        <w:pStyle w:val="Heading1"/>
      </w:pPr>
      <w:r>
        <w:t>17 本次核验方法与交付边界</w:t>
      </w:r>
    </w:p>
    <w:p>
      <w:r>
        <w:t xml:space="preserve">本次完成远端检查与快进同步、用户 PDF 正文和页面核验、现有代码与新研究资料检查、原始文献补充检索、全套测试、公开参数伪造复现及一字节密文篡改实验。报告附 </w:t>
      </w:r>
      <w:r>
        <w:rPr>
          <w:rFonts w:ascii="Consolas" w:hAnsi="Consolas"/>
          <w:sz w:val="19"/>
        </w:rPr>
        <w:t>核验记录.json</w:t>
      </w:r>
      <w:r>
        <w:t>，记录代码基点、环境、参数、输入长度、次数和结果。</w:t>
      </w:r>
    </w:p>
    <w:p>
      <w:r>
        <w:t>本机新测试环境为 Windows 11、CPython 3.14.6、Intel Core Ultra 9 275HX、24 个逻辑处理器、约 32 GB 内存。WSL 的指定 conda 环境已确认 SageMath 10.9 可用，但本次没有用 Sage 新做参数估计或数学采样实验。历史基准的处理器记录仅是其原始标识，不能用本次机器名称替换旧实验环境。</w:t>
      </w:r>
    </w:p>
    <w:p>
      <w:r>
        <w:t>可复现的主要命令如下，均在仓库根目录运行。文档制作和页面检查不属于密码性能实验。</w:t>
      </w:r>
    </w:p>
    <w:p>
      <w:pPr>
        <w:pStyle w:val="ReportCode"/>
        <w:keepNext/>
      </w:pPr>
      <w:r>
        <w:t>$env:PYTHONPATH = 'src'</w:t>
      </w:r>
    </w:p>
    <w:p>
      <w:pPr>
        <w:pStyle w:val="ReportCode"/>
        <w:keepNext/>
      </w:pPr>
      <w:r>
        <w:t>python -m pytest -q</w:t>
      </w:r>
    </w:p>
    <w:p>
      <w:pPr>
        <w:pStyle w:val="ReportCode"/>
        <w:keepNext/>
      </w:pPr>
      <w:r>
        <w:t>python experiments/attacks/forge_ibs.py</w:t>
      </w:r>
    </w:p>
    <w:p>
      <w:pPr>
        <w:pStyle w:val="ReportCode"/>
        <w:keepNext/>
      </w:pPr>
      <w:r>
        <w:t>git diff --check</w:t>
      </w:r>
    </w:p>
    <w:p>
      <w:pPr>
        <w:pStyle w:val="ReportCode"/>
        <w:keepNext w:val="0"/>
      </w:pPr>
      <w:r>
        <w:t>git status --short</w:t>
      </w:r>
    </w:p>
    <w:p>
      <w:r>
        <w:t>本次没有更改任何密码算法，没有修复已发现漏洞，没有完成正式参数、增强隐私、CCA 转换、环格或模格后端，也没有重新运行历史完整基准及旧 LLL 或 LWE 估计。报告的安全声明是：</w:t>
      </w:r>
      <w:r>
        <w:rPr>
          <w:b/>
        </w:rPr>
        <w:t>当前教学实例不提供安全等级；本次测试不能替代安全证明。</w:t>
      </w:r>
    </w:p>
    <w:p>
      <w:pPr>
        <w:pStyle w:val="Heading2"/>
      </w:pPr>
      <w:r>
        <w:t>17.1 一字节篡改实验的复现片段</w:t>
      </w:r>
    </w:p>
    <w:p>
      <w:r>
        <w:t>下面使用专用固定种子，不能用于生产。它对当前代码基点运行一个合法密文和一个篡改密文的解密，不保存或输出私钥。示例依赖当前模数系数编码的 3 字节宽度，其他方案不能照搬这个定位方式。</w:t>
      </w:r>
    </w:p>
    <w:p>
      <w:pPr>
        <w:pStyle w:val="ReportCode"/>
        <w:keepNext/>
      </w:pPr>
      <w:r>
        <w:t>from ibme.core.randomness import DeterministicRandom</w:t>
      </w:r>
    </w:p>
    <w:p>
      <w:pPr>
        <w:pStyle w:val="ReportCode"/>
        <w:keepNext/>
      </w:pPr>
      <w:r>
        <w:t>from ibme.hibe import ABB10HIBE</w:t>
      </w:r>
    </w:p>
    <w:p>
      <w:pPr>
        <w:pStyle w:val="ReportCode"/>
        <w:keepNext/>
      </w:pPr>
      <w:r>
        <w:t>from ibme.ibs import SisIBSBackend</w:t>
      </w:r>
    </w:p>
    <w:p>
      <w:pPr>
        <w:pStyle w:val="ReportCode"/>
        <w:keepNext/>
      </w:pPr>
      <w:r>
        <w:t>from ibme.protocol import (</w:t>
      </w:r>
    </w:p>
    <w:p>
      <w:pPr>
        <w:pStyle w:val="ReportCode"/>
        <w:keepNext/>
      </w:pPr>
      <w:r>
        <w:t xml:space="preserve">    BaselineIBME, BASELINE_DEBUG_PARAMS,</w:t>
      </w:r>
    </w:p>
    <w:p>
      <w:pPr>
        <w:pStyle w:val="ReportCode"/>
        <w:keepNext/>
      </w:pPr>
      <w:r>
        <w:t xml:space="preserve">    BASELINE_DEBUG_IBS_PARAMS, is_bottom,</w:t>
      </w:r>
    </w:p>
    <w:p>
      <w:pPr>
        <w:pStyle w:val="ReportCode"/>
        <w:keepNext/>
      </w:pPr>
      <w:r>
        <w:t>)</w:t>
      </w:r>
    </w:p>
    <w:p>
      <w:pPr>
        <w:pStyle w:val="ReportCode"/>
        <w:keepNext/>
      </w:pPr>
      <w:r/>
    </w:p>
    <w:p>
      <w:pPr>
        <w:pStyle w:val="ReportCode"/>
        <w:keepNext/>
      </w:pPr>
      <w:r>
        <w:t>def rng(tag):</w:t>
      </w:r>
    </w:p>
    <w:p>
      <w:pPr>
        <w:pStyle w:val="ReportCode"/>
        <w:keepNext/>
      </w:pPr>
      <w:r>
        <w:t xml:space="preserve">    return DeterministicRandom(b"review-2026-10-03:" + tag)</w:t>
      </w:r>
    </w:p>
    <w:p>
      <w:pPr>
        <w:pStyle w:val="ReportCode"/>
        <w:keepNext/>
      </w:pPr>
      <w:r/>
    </w:p>
    <w:p>
      <w:pPr>
        <w:pStyle w:val="ReportCode"/>
        <w:keepNext/>
      </w:pPr>
      <w:r>
        <w:t>p = BaselineIBME(ABB10HIBE(), SisIBSBackend(rng=rng(b"ibs")))</w:t>
      </w:r>
    </w:p>
    <w:p>
      <w:pPr>
        <w:pStyle w:val="ReportCode"/>
        <w:keepNext/>
      </w:pPr>
      <w:r>
        <w:t>pk, msk = p.setup(BASELINE_DEBUG_PARAMS,</w:t>
      </w:r>
    </w:p>
    <w:p>
      <w:pPr>
        <w:pStyle w:val="ReportCode"/>
        <w:keepNext/>
      </w:pPr>
      <w:r>
        <w:t xml:space="preserve">    ibs_params=BASELINE_DEBUG_IBS_PARAMS, rng=rng(b"setup"))</w:t>
      </w:r>
    </w:p>
    <w:p>
      <w:pPr>
        <w:pStyle w:val="ReportCode"/>
        <w:keepNext/>
      </w:pPr>
      <w:r>
        <w:t>ek = p.skgen(msk, b"Alice")</w:t>
      </w:r>
    </w:p>
    <w:p>
      <w:pPr>
        <w:pStyle w:val="ReportCode"/>
        <w:keepNext/>
      </w:pPr>
      <w:r>
        <w:t>dk = p.rkgen(msk, b"Bob", rng=rng(b"rk"))</w:t>
      </w:r>
    </w:p>
    <w:p>
      <w:pPr>
        <w:pStyle w:val="ReportCode"/>
        <w:keepNext/>
      </w:pPr>
      <w:r>
        <w:t>raw = p.encrypt(pk, ek, b"Bob", b"A", rng=rng(b"enc")).to_bytes()</w:t>
      </w:r>
    </w:p>
    <w:p>
      <w:pPr>
        <w:pStyle w:val="ReportCode"/>
        <w:keepNext/>
      </w:pPr>
      <w:r>
        <w:t>x = int.from_bytes(raw[-3:], "big")</w:t>
      </w:r>
    </w:p>
    <w:p>
      <w:pPr>
        <w:pStyle w:val="ReportCode"/>
        <w:keepNext/>
      </w:pPr>
      <w:r>
        <w:t>bad = raw[:-3] + ((x + 1) % BASELINE_DEBUG_PARAMS.q).to_bytes(3, "big")</w:t>
      </w:r>
    </w:p>
    <w:p>
      <w:pPr>
        <w:pStyle w:val="ReportCode"/>
        <w:keepNext/>
      </w:pPr>
      <w:r>
        <w:t>before = p.decrypt(pk, dk, b"Alice", raw, rng=rng(b"dec"))</w:t>
      </w:r>
    </w:p>
    <w:p>
      <w:pPr>
        <w:pStyle w:val="ReportCode"/>
        <w:keepNext/>
      </w:pPr>
      <w:r>
        <w:t>after = p.decrypt(pk, dk, b"Alice", bad, rng=rng(b"dec"))</w:t>
      </w:r>
    </w:p>
    <w:p>
      <w:pPr>
        <w:pStyle w:val="ReportCode"/>
        <w:keepNext/>
      </w:pPr>
      <w:r>
        <w:t>print(len(raw), x, before == b"A", after == b"A", is_bottom(after))</w:t>
      </w:r>
    </w:p>
    <w:p>
      <w:pPr>
        <w:pStyle w:val="ReportCode"/>
        <w:keepNext w:val="0"/>
      </w:pPr>
      <w:r>
        <w:t># 4109477 7276 True True False</w:t>
      </w:r>
    </w:p>
    <w:p>
      <w:pPr>
        <w:pStyle w:val="Heading1"/>
      </w:pPr>
      <w:r>
        <w:t>18 文献与证据目录</w:t>
      </w:r>
    </w:p>
    <w:p>
      <w:r>
        <w:t>下面只记录本报告使用的原始来源。需要精读的候选并不等于已完成证明审查。访问日期均为本次研究日期；近期预印本还应保存文件哈希，避免后续更新改变结论。</w:t>
      </w:r>
    </w:p>
    <w:p>
      <w:r>
        <w:t>[S1] Yuejun Wang 等。Identity-based Matchmaking Encryption with Stronger Security and Instantiation on Lattices。TCS，2025；ePrint 2022/1718，本次 PDF 版本对应 2025 年 3 月修订。读取通用构造和格 IBS 相关章节。</w:t>
      </w:r>
      <w:hyperlink r:id="rId11">
        <w:r>
          <w:rPr>
            <w:color w:val="0563C1"/>
          </w:rPr>
          <w:t>论文与版本</w:t>
        </w:r>
      </w:hyperlink>
      <w:r>
        <w:t>。</w:t>
      </w:r>
    </w:p>
    <w:p>
      <w:r>
        <w:t>[S2] Daniele Micciancio，Chris Peikert。Trapdoors for Lattices Simpler Tighter Faster Smaller。EUROCRYPT 2012。完整陷门与采样依据。</w:t>
      </w:r>
      <w:hyperlink r:id="rId12">
        <w:r>
          <w:rPr>
            <w:color w:val="0563C1"/>
          </w:rPr>
          <w:t>作者预印本</w:t>
        </w:r>
      </w:hyperlink>
      <w:r>
        <w:t>。</w:t>
      </w:r>
    </w:p>
    <w:p>
      <w:r>
        <w:t>[S3] Qing Yu，Shengli Liu，Yiming Li。Identity-based signature and identity-based matchmaking encryption from lattices。TCS 1082，116152，2026 年 9 月 2 日。本次核验出版社摘要与构造概述，尚未取得并精读完整证明。</w:t>
      </w:r>
      <w:hyperlink r:id="rId13">
        <w:r>
          <w:rPr>
            <w:color w:val="0563C1"/>
          </w:rPr>
          <w:t>出版社原文入口</w:t>
        </w:r>
      </w:hyperlink>
      <w:r>
        <w:t>。</w:t>
      </w:r>
    </w:p>
    <w:p>
      <w:r>
        <w:t>[S4] Shweta Agrawal，Dan Boneh，Xavier Boyen。Lattice Basis Delegation in Fixed Dimension and Shorter-Ciphertext Hierarchical IBE。CRYPTO 2010。读取 §4 构造与 Theorem 5，并区分 §5。</w:t>
      </w:r>
      <w:hyperlink r:id="rId14">
        <w:r>
          <w:rPr>
            <w:color w:val="0563C1"/>
          </w:rPr>
          <w:t>作者 PDF</w:t>
        </w:r>
      </w:hyperlink>
      <w:r>
        <w:t>。</w:t>
      </w:r>
    </w:p>
    <w:p>
      <w:r>
        <w:t xml:space="preserve">[S5] Xavier Boyen，Qinyi Li。Identity-Based Matchmaking Encryption with Enhanced Privacy — A Generic Construction with Practical Instantiations。ESORICS 2023，论文集 2024 出版。本地 </w:t>
      </w:r>
      <w:r>
        <w:rPr>
          <w:rFonts w:ascii="Consolas" w:hAnsi="Consolas"/>
          <w:sz w:val="19"/>
        </w:rPr>
        <w:t>978-3-031-51476-0_21.pdf</w:t>
      </w:r>
      <w:r>
        <w:t xml:space="preserve"> 及作者来源；读取增强隐私与组件要求。</w:t>
      </w:r>
      <w:hyperlink r:id="rId15">
        <w:r>
          <w:rPr>
            <w:color w:val="0563C1"/>
          </w:rPr>
          <w:t>作者公开 PDF</w:t>
        </w:r>
      </w:hyperlink>
      <w:r>
        <w:t>。</w:t>
      </w:r>
    </w:p>
    <w:p>
      <w:r>
        <w:t>[S6] Roberta Cimorelli Belfiore，Andrea De Cosmo，Anna Lisa Ferrara。Identity-Based Matchmaking Encryption from Standard Lattice Assumptions。ACNS 2024。仅核验作者及机构摘要。</w:t>
      </w:r>
      <w:hyperlink r:id="rId16">
        <w:r>
          <w:rPr>
            <w:color w:val="0563C1"/>
          </w:rPr>
          <w:t>作者论文页</w:t>
        </w:r>
      </w:hyperlink>
      <w:r>
        <w:t>，</w:t>
      </w:r>
      <w:hyperlink r:id="rId17">
        <w:r>
          <w:rPr>
            <w:color w:val="0563C1"/>
          </w:rPr>
          <w:t>机构记录</w:t>
        </w:r>
      </w:hyperlink>
      <w:r>
        <w:t>。</w:t>
      </w:r>
    </w:p>
    <w:p>
      <w:r>
        <w:t>[S7] Sohto Chiku，Keitaro Hashimoto，Keisuke Hara，Junji Shikata。Identity-Based Matchmaking Encryption with Enhanced Privacy Against Chosen-Ciphertext Attacks。ePrint 2023/1435，当前修订日期 2026 年 7 月 6 日。读取当前构造、组件与比较，未完整逐行走读证明。</w:t>
      </w:r>
      <w:hyperlink r:id="rId18">
        <w:r>
          <w:rPr>
            <w:color w:val="0563C1"/>
          </w:rPr>
          <w:t>版本入口</w:t>
        </w:r>
      </w:hyperlink>
      <w:r>
        <w:t>。</w:t>
      </w:r>
    </w:p>
    <w:p>
      <w:r>
        <w:t>[S8] Qinyi Li，Hao Qin，Xavier Boyen。Efficient Identity-Based Matchmaking Encryption with Enhanced Privacy and Chosen-Ciphertext Security。ACISP 2026，LNCS 16793，25–45；2026 年 7 月 21 日上线。仅核验出版社摘要和书目信息。</w:t>
      </w:r>
      <w:hyperlink r:id="rId19">
        <w:r>
          <w:rPr>
            <w:color w:val="0563C1"/>
          </w:rPr>
          <w:t>出版社章节</w:t>
        </w:r>
      </w:hyperlink>
      <w:r>
        <w:t>。</w:t>
      </w:r>
    </w:p>
    <w:p>
      <w:r>
        <w:t>[S9] Yang Yang 等。IBMEIL identity-based matchmaking encryption scheme from ideal lattices for IoT。Cluster Computing 29，405，2026 年 6 月 29 日。仅核验出版社摘要。</w:t>
      </w:r>
      <w:hyperlink r:id="rId20">
        <w:r>
          <w:rPr>
            <w:color w:val="0563C1"/>
          </w:rPr>
          <w:t>出版社论文</w:t>
        </w:r>
      </w:hyperlink>
      <w:r>
        <w:t>。</w:t>
      </w:r>
    </w:p>
    <w:p>
      <w:r>
        <w:t>[S10] Giuseppe Ateniese 等。Match Me If You Can Matchmaking Encryption and Its Applications。CRYPTO 2019，后有期刊版本。早期定义与应用参照。</w:t>
      </w:r>
      <w:hyperlink r:id="rId21">
        <w:r>
          <w:rPr>
            <w:color w:val="0563C1"/>
          </w:rPr>
          <w:t>作者预印本</w:t>
        </w:r>
      </w:hyperlink>
      <w:r>
        <w:t>。</w:t>
      </w:r>
    </w:p>
    <w:p>
      <w:r>
        <w:t>[S11] Jie Chen，Yu Li，Jinming Wen，Jian Weng。Identity-Based Matchmaking Encryption from Standard Assumptions。ASIACRYPT 2022。双线性对通用构造参照。</w:t>
      </w:r>
      <w:hyperlink r:id="rId22">
        <w:r>
          <w:rPr>
            <w:color w:val="0563C1"/>
          </w:rPr>
          <w:t>作者预印本</w:t>
        </w:r>
      </w:hyperlink>
      <w:r>
        <w:t>。</w:t>
      </w:r>
    </w:p>
    <w:p>
      <w:r>
        <w:t>[S12] Jiaxin Pan，Benedikt Wagner。Short Identity-Based Signatures with Tight Security from Lattices。PQCrypto 2021。读取转换背景和相关原文；待全面核验具体接入版本。</w:t>
      </w:r>
      <w:hyperlink r:id="rId23">
        <w:r>
          <w:rPr>
            <w:color w:val="0563C1"/>
          </w:rPr>
          <w:t>作者预印本</w:t>
        </w:r>
      </w:hyperlink>
      <w:r>
        <w:t>。</w:t>
      </w:r>
    </w:p>
    <w:p>
      <w:r>
        <w:t>[S13] Ernest Foo，Qinyi Li。Tightly Secure Lattice Identity-Based Signature in the Quantum Random Oracle Model。ACISP 2023。读取构造图和相关定理，关注秘密种子与查询一致性。</w:t>
      </w:r>
      <w:hyperlink r:id="rId24">
        <w:r>
          <w:rPr>
            <w:color w:val="0563C1"/>
          </w:rPr>
          <w:t>作者 PDF</w:t>
        </w:r>
      </w:hyperlink>
      <w:r>
        <w:t>。</w:t>
      </w:r>
    </w:p>
    <w:p>
      <w:r>
        <w:t>[S14] Eric Sageloli，Pierre Pébereau，Pierrick Méaux，Céline Chevalier。Shorter and Faster Identity-Based Signatures with Tight Security in the (Q)ROM from Lattices。ACNS 2023，ePrint 2023/489。读取原文摘要、路线与参数材料位置；完整定理和实现仍待核验。</w:t>
      </w:r>
      <w:hyperlink r:id="rId25">
        <w:r>
          <w:rPr>
            <w:color w:val="0563C1"/>
          </w:rPr>
          <w:t>作者预印本</w:t>
        </w:r>
      </w:hyperlink>
      <w:r>
        <w:t>。</w:t>
      </w:r>
    </w:p>
    <w:p>
      <w:r>
        <w:t>[S15] Raymond K Zhao 等。Quantum-safe HIBE does it cost a Latte。ePrint 2021/222，TIFS 期刊版本 DOI 10.1109/TIFS.2023.3347880。读取原文相关实现说明，匿名性不能据一般 HIBE 机密性推定。</w:t>
      </w:r>
      <w:hyperlink r:id="rId26">
        <w:r>
          <w:rPr>
            <w:color w:val="0563C1"/>
          </w:rPr>
          <w:t>论文</w:t>
        </w:r>
      </w:hyperlink>
      <w:r>
        <w:t>，</w:t>
      </w:r>
      <w:hyperlink r:id="rId27">
        <w:r>
          <w:rPr>
            <w:color w:val="0563C1"/>
          </w:rPr>
          <w:t>公开代码</w:t>
        </w:r>
      </w:hyperlink>
      <w:r>
        <w:t>。</w:t>
      </w:r>
    </w:p>
    <w:p>
      <w:r>
        <w:t>[S16] Toi Tomita，Junji Shikata。Compact and Tightly Secure (Anonymous) IBE from Module LWE in the QROM。ePrint 2024/1765，2026 年 4 月 22 日修订。读取 §4、参数条件及 §5–6 的定理入口，仍需具体参数研究。</w:t>
      </w:r>
      <w:hyperlink r:id="rId28">
        <w:r>
          <w:rPr>
            <w:color w:val="0563C1"/>
          </w:rPr>
          <w:t>当前版本</w:t>
        </w:r>
      </w:hyperlink>
      <w:r>
        <w:t>。</w:t>
      </w:r>
    </w:p>
    <w:p>
      <w:r>
        <w:t>[S17] Toi Tomita，Junji Shikata。Efficient Identity-Based Encryption with Tight Adaptive Anonymity from RLWE。PQCrypto 2024。用于区分环格旧版本与当前模格稿，本次核验会议作者幻灯片。</w:t>
      </w:r>
      <w:hyperlink r:id="rId29">
        <w:r>
          <w:rPr>
            <w:color w:val="0563C1"/>
          </w:rPr>
          <w:t>会议材料</w:t>
        </w:r>
      </w:hyperlink>
      <w:r>
        <w:t>。</w:t>
      </w:r>
    </w:p>
    <w:p>
      <w:r>
        <w:t>[S18] NIST。FIPS 203 Module-Lattice-Based Key-Encapsulation Mechanism Standard。用于核对 ML-KEM 原语类型与标准范围。</w:t>
      </w:r>
      <w:hyperlink r:id="rId30">
        <w:r>
          <w:rPr>
            <w:color w:val="0563C1"/>
          </w:rPr>
          <w:t>官方标准</w:t>
        </w:r>
      </w:hyperlink>
      <w:r>
        <w:t>。</w:t>
      </w:r>
    </w:p>
    <w:p>
      <w:r>
        <w:t>[S19] lattice-estimator 项目。估计器范围、输入和成本模型说明；本次没有运行新的安全参数估计。</w:t>
      </w:r>
      <w:hyperlink r:id="rId31">
        <w:r>
          <w:rPr>
            <w:color w:val="0563C1"/>
          </w:rPr>
          <w:t>官方代码和说明</w:t>
        </w:r>
      </w:hyperlink>
      <w:r>
        <w:t>。</w:t>
      </w:r>
    </w:p>
    <w:p>
      <w:r>
        <w:t>[L1] 仓库所附王玥俊博士论文《支持特定功能的格基函数加密研究》。相关内容为构造 3.3.1、定理 3.3.1 和 §3.4.1，印刷页约 40–46，PDF 页约 64–70。用于核对基本 IBS 安全与通用组合要求。</w:t>
      </w:r>
    </w:p>
    <w:p>
      <w:r>
        <w:t xml:space="preserve">[L2] </w:t>
      </w:r>
      <w:r>
        <w:rPr>
          <w:rFonts w:ascii="Consolas" w:hAnsi="Consolas"/>
          <w:sz w:val="19"/>
        </w:rPr>
        <w:t>ARCHITECTURE.md</w:t>
      </w:r>
      <w:r>
        <w:t>、</w:t>
      </w:r>
      <w:r>
        <w:rPr>
          <w:rFonts w:ascii="Consolas" w:hAnsi="Consolas"/>
          <w:sz w:val="19"/>
        </w:rPr>
        <w:t>IMPLEMENTATION_SPEC.md</w:t>
      </w:r>
      <w:r>
        <w:t>、</w:t>
      </w:r>
      <w:r>
        <w:rPr>
          <w:rFonts w:ascii="Consolas" w:hAnsi="Consolas"/>
          <w:sz w:val="19"/>
        </w:rPr>
        <w:t>AI_WORKFLOW.md</w:t>
      </w:r>
      <w:r>
        <w:t>、</w:t>
      </w:r>
      <w:r>
        <w:rPr>
          <w:rFonts w:ascii="Consolas" w:hAnsi="Consolas"/>
          <w:sz w:val="19"/>
        </w:rPr>
        <w:t>DELEGATION_PROMPTS.md</w:t>
      </w:r>
      <w:r>
        <w:t>、</w:t>
      </w:r>
      <w:r>
        <w:rPr>
          <w:rFonts w:ascii="Consolas" w:hAnsi="Consolas"/>
          <w:sz w:val="19"/>
        </w:rPr>
        <w:t>README.md</w:t>
      </w:r>
      <w:r>
        <w:t>、</w:t>
      </w:r>
      <w:r>
        <w:rPr>
          <w:rFonts w:ascii="Consolas" w:hAnsi="Consolas"/>
          <w:sz w:val="19"/>
        </w:rPr>
        <w:t>docs/交接说明与安全发现.md</w:t>
      </w:r>
      <w:r>
        <w:t>、</w:t>
      </w:r>
      <w:r>
        <w:rPr>
          <w:rFonts w:ascii="Consolas" w:hAnsi="Consolas"/>
          <w:sz w:val="19"/>
        </w:rPr>
        <w:t>docs/M3_CODE_REVIEW.md</w:t>
      </w:r>
      <w:r>
        <w:t>、</w:t>
      </w:r>
      <w:r>
        <w:rPr>
          <w:rFonts w:ascii="Consolas" w:hAnsi="Consolas"/>
          <w:sz w:val="19"/>
        </w:rPr>
        <w:t>docs/M3_FLOW_ALGORITHM_SECURITY.md</w:t>
      </w:r>
      <w:r>
        <w:t>。它们是仓库已有设计与历史发现，不自动覆盖本次扩展路线。</w:t>
      </w:r>
    </w:p>
    <w:p>
      <w:r>
        <w:t xml:space="preserve">[L3] </w:t>
      </w:r>
      <w:r>
        <w:rPr>
          <w:rFonts w:ascii="Consolas" w:hAnsi="Consolas"/>
          <w:sz w:val="19"/>
        </w:rPr>
        <w:t>src/ibme/protocol/baseline.py</w:t>
      </w:r>
      <w:r>
        <w:t>、</w:t>
      </w:r>
      <w:r>
        <w:rPr>
          <w:rFonts w:ascii="Consolas" w:hAnsi="Consolas"/>
          <w:sz w:val="19"/>
        </w:rPr>
        <w:t>src/ibme/hibe/abb10.py</w:t>
      </w:r>
      <w:r>
        <w:t>、</w:t>
      </w:r>
      <w:r>
        <w:rPr>
          <w:rFonts w:ascii="Consolas" w:hAnsi="Consolas"/>
          <w:sz w:val="19"/>
        </w:rPr>
        <w:t>src/ibme/ibs/sis_ibs.py</w:t>
      </w:r>
      <w:r>
        <w:t>、</w:t>
      </w:r>
      <w:r>
        <w:rPr>
          <w:rFonts w:ascii="Consolas" w:hAnsi="Consolas"/>
          <w:sz w:val="19"/>
        </w:rPr>
        <w:t>src/ibme/lattice/</w:t>
      </w:r>
      <w:r>
        <w:t>、</w:t>
      </w:r>
      <w:r>
        <w:rPr>
          <w:rFonts w:ascii="Consolas" w:hAnsi="Consolas"/>
          <w:sz w:val="19"/>
        </w:rPr>
        <w:t>tests/test_baseline_ibme.py</w:t>
      </w:r>
      <w:r>
        <w:t>、</w:t>
      </w:r>
      <w:r>
        <w:rPr>
          <w:rFonts w:ascii="Consolas" w:hAnsi="Consolas"/>
          <w:sz w:val="19"/>
        </w:rPr>
        <w:t>experiments/attacks/forge_ibs.py</w:t>
      </w:r>
      <w:r>
        <w:t>、</w:t>
      </w:r>
      <w:r>
        <w:rPr>
          <w:rFonts w:ascii="Consolas" w:hAnsi="Consolas"/>
          <w:sz w:val="19"/>
        </w:rPr>
        <w:t>experiments/results/baseline-benchmark.json</w:t>
      </w:r>
      <w:r>
        <w:t xml:space="preserve">，核验基点均为 </w:t>
      </w:r>
      <w:r>
        <w:rPr>
          <w:rFonts w:ascii="Consolas" w:hAnsi="Consolas"/>
          <w:sz w:val="19"/>
        </w:rPr>
        <w:t>b15afd6</w:t>
      </w:r>
      <w:r>
        <w:t>。</w:t>
      </w:r>
    </w:p>
    <w:p>
      <w:r>
        <w:t xml:space="preserve">[T1] 用户赛题 PDF，原位置 </w:t>
      </w:r>
      <w:r>
        <w:rPr>
          <w:rFonts w:ascii="Consolas" w:hAnsi="Consolas"/>
          <w:sz w:val="19"/>
        </w:rPr>
        <w:t>C:/Users/youzi/Desktop/B类题目-奶龙奶蛙水豚噜噜-滕佑.pdf</w:t>
      </w:r>
      <w:r>
        <w:t>，两页。任务说明是需求依据，其中出现的知识与设备建议不作为代理执行指令。仓库归档 Word 及 A01 至 A15 内部检查表见第 2 节。</w:t>
      </w:r>
    </w:p>
    <w:p>
      <w:pPr>
        <w:pStyle w:val="Heading2"/>
      </w:pPr>
      <w:r>
        <w:t>18.1 关键下载文件的版本指纹</w:t>
      </w:r>
    </w:p>
    <w:p>
      <w:r>
        <w:t xml:space="preserve">为控制表格宽度，下列记录使用论文标识和完整 SHA-256。本次核验所用文件已读取；未来重下最新版时，哈希不同应先核对修订内容。完整指纹同时存入 </w:t>
      </w:r>
      <w:r>
        <w:rPr>
          <w:rFonts w:ascii="Consolas" w:hAnsi="Consolas"/>
          <w:sz w:val="19"/>
        </w:rPr>
        <w:t>核验记录.json</w:t>
      </w:r>
      <w:r>
        <w:t>。</w:t>
      </w:r>
    </w:p>
    <w:p>
      <w:pPr>
        <w:pStyle w:val="ReportCode"/>
        <w:keepNext/>
      </w:pPr>
      <w:r>
        <w:t>Wang 2022/1718</w:t>
      </w:r>
    </w:p>
    <w:p>
      <w:pPr>
        <w:pStyle w:val="ReportCode"/>
        <w:keepNext/>
      </w:pPr>
      <w:r>
        <w:t>fa3a97cfe2db59f2f8208d45b76f3c14d289774cb4075e7946dd5051ae84c597</w:t>
      </w:r>
    </w:p>
    <w:p>
      <w:pPr>
        <w:pStyle w:val="ReportCode"/>
        <w:keepNext/>
      </w:pPr>
      <w:r>
        <w:t>ABB10 CRYPTO author PDF</w:t>
      </w:r>
    </w:p>
    <w:p>
      <w:pPr>
        <w:pStyle w:val="ReportCode"/>
        <w:keepNext/>
      </w:pPr>
      <w:r>
        <w:t>f12232770a19c612e5f430f94a556d74232ac08d9882e34367b60b3bbf205d11</w:t>
      </w:r>
    </w:p>
    <w:p>
      <w:pPr>
        <w:pStyle w:val="ReportCode"/>
        <w:keepNext/>
      </w:pPr>
      <w:r>
        <w:t>Chiku 2023/1435 current revision</w:t>
      </w:r>
    </w:p>
    <w:p>
      <w:pPr>
        <w:pStyle w:val="ReportCode"/>
        <w:keepNext/>
      </w:pPr>
      <w:r>
        <w:t>49a31c6b7cb7ac6df0d9fe965f19ebbd2580ff7a91580af292430cdb159abe6c</w:t>
      </w:r>
    </w:p>
    <w:p>
      <w:pPr>
        <w:pStyle w:val="ReportCode"/>
        <w:keepNext/>
      </w:pPr>
      <w:r>
        <w:t>Foo Li ACISP 2023 author PDF</w:t>
      </w:r>
    </w:p>
    <w:p>
      <w:pPr>
        <w:pStyle w:val="ReportCode"/>
        <w:keepNext/>
      </w:pPr>
      <w:r>
        <w:t>845855b9b39fdcbbe61831d9d1c431dc8d898b5a6244863ff87b23171b1e45b8</w:t>
      </w:r>
    </w:p>
    <w:p>
      <w:pPr>
        <w:pStyle w:val="ReportCode"/>
        <w:keepNext/>
      </w:pPr>
      <w:r>
        <w:t>Tomita Shikata 2024/1765 current revision</w:t>
      </w:r>
    </w:p>
    <w:p>
      <w:pPr>
        <w:pStyle w:val="ReportCode"/>
        <w:keepNext w:val="0"/>
      </w:pPr>
      <w:r>
        <w:t>4fb33baf2607a432b427751ffc8a58ff3270683f34e82ab20dc2eb714827531b</w:t>
      </w:r>
    </w:p>
    <w:sectPr w:rsidR="00FC693F" w:rsidRPr="0006063C" w:rsidSect="00034616">
      <w:headerReference w:type="default" r:id="rId9"/>
      <w:footerReference w:type="default" r:id="rId10"/>
      <w:pgSz w:w="12240" w:h="15840"/>
      <w:pgMar w:top="1008" w:right="1080" w:bottom="936" w:left="1080" w:header="403"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jc w:val="center"/>
    </w:pPr>
    <w:r>
      <w:rPr>
        <w:sz w:val="18"/>
      </w:rPr>
      <w:t xml:space="preserve">第 </w:t>
    </w:r>
    <w:fldSimple w:instr="PAGE"/>
    <w:r>
      <w:rPr>
        <w:sz w:val="18"/>
      </w:rP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95959"/>
        <w:sz w:val="16"/>
      </w:rPr>
      <w:t>IBME 项目研究报告  |  2026 年 10 月</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20" w:line="307" w:lineRule="auto"/>
    </w:pPr>
    <w:rPr>
      <w:rFonts w:ascii="Calibri" w:hAnsi="Calibri" w:eastAsia="SimSun"/>
      <w:b w:val="0"/>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outlineLvl w:val="0"/>
    </w:pPr>
    <w:rPr>
      <w:rFonts w:ascii="Calibri" w:hAnsi="Calibri" w:eastAsia="Microsoft YaHei"/>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140"/>
      <w:outlineLvl w:val="1"/>
    </w:pPr>
    <w:rPr>
      <w:rFonts w:ascii="Calibri" w:hAnsi="Calibri" w:eastAsia="Microsoft YaHei"/>
      <w:b/>
      <w:bCs/>
      <w:color w:val="000000"/>
      <w:sz w:val="25"/>
      <w:szCs w:val="26"/>
    </w:rPr>
  </w:style>
  <w:style w:type="paragraph" w:styleId="Heading3">
    <w:name w:val="heading 3"/>
    <w:basedOn w:val="Normal"/>
    <w:next w:val="Normal"/>
    <w:link w:val="Heading3Char"/>
    <w:uiPriority w:val="9"/>
    <w:unhideWhenUsed/>
    <w:qFormat/>
    <w:rsid w:val="00FC693F"/>
    <w:pPr>
      <w:keepNext/>
      <w:keepLines/>
      <w:spacing w:before="200" w:after="140"/>
      <w:outlineLvl w:val="2"/>
    </w:pPr>
    <w:rPr>
      <w:rFonts w:ascii="Calibri" w:hAnsi="Calibri" w:eastAsia="Microsoft YaHei"/>
      <w:b/>
      <w:bCs/>
      <w:color w:val="00000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40" w:line="240" w:lineRule="auto"/>
      <w:contextualSpacing/>
    </w:pPr>
    <w:rPr>
      <w:rFonts w:ascii="Calibri" w:hAnsi="Calibri" w:eastAsia="Microsoft YaHei"/>
      <w:b/>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300" w:lineRule="auto"/>
      <w:contextualSpacing/>
    </w:pPr>
    <w:rPr>
      <w:rFonts w:ascii="Calibri" w:hAnsi="Calibri" w:eastAsia="SimSun"/>
      <w:b w:val="0"/>
      <w:color w:val="000000"/>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300" w:lineRule="auto"/>
      <w:contextualSpacing/>
    </w:pPr>
    <w:rPr>
      <w:rFonts w:ascii="Calibri" w:hAnsi="Calibri" w:eastAsia="SimSun"/>
      <w:b w:val="0"/>
      <w:color w:val="000000"/>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ReportCode">
    <w:name w:val="Report Code"/>
    <w:pPr>
      <w:widowControl w:val="0"/>
      <w:spacing w:line="252" w:lineRule="auto" w:after="20"/>
      <w:ind w:left="144"/>
    </w:pPr>
    <w:rPr>
      <w:rFonts w:ascii="Consolas" w:hAnsi="Consolas" w:eastAsia="SimSun"/>
      <w:b w:val="0"/>
      <w:color w:val="000000"/>
      <w:sz w:val="18"/>
    </w:rPr>
  </w:style>
  <w:style w:type="paragraph" w:customStyle="1" w:styleId="ReportTableCaption">
    <w:name w:val="Report Table Caption"/>
    <w:pPr>
      <w:keepNext/>
      <w:spacing w:before="100" w:after="100"/>
    </w:pPr>
    <w:rPr>
      <w:rFonts w:ascii="Calibri" w:hAnsi="Calibri" w:eastAsia="SimSun"/>
      <w:b w:val="0"/>
      <w:color w:val="000000"/>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eprint.iacr.org/2022/1718" TargetMode="External"/><Relationship Id="rId12" Type="http://schemas.openxmlformats.org/officeDocument/2006/relationships/hyperlink" Target="https://eprint.iacr.org/2011/501" TargetMode="External"/><Relationship Id="rId13" Type="http://schemas.openxmlformats.org/officeDocument/2006/relationships/hyperlink" Target="https://www.sciencedirect.com/science/article/pii/S0304397526003816" TargetMode="External"/><Relationship Id="rId14" Type="http://schemas.openxmlformats.org/officeDocument/2006/relationships/hyperlink" Target="https://crypto.stanford.edu/~dabo/pubs/papers/latticehibe.pdf" TargetMode="External"/><Relationship Id="rId15" Type="http://schemas.openxmlformats.org/officeDocument/2006/relationships/hyperlink" Target="https://research-repository.griffith.edu.au/server/api/core/bitstreams/5770f483-a059-4caa-9dde-06707826fefe/content" TargetMode="External"/><Relationship Id="rId16" Type="http://schemas.openxmlformats.org/officeDocument/2006/relationships/hyperlink" Target="https://robertacimorelli.github.io/publication/acns/" TargetMode="External"/><Relationship Id="rId17" Type="http://schemas.openxmlformats.org/officeDocument/2006/relationships/hyperlink" Target="https://iris.unimol.it/handle/11695/139190" TargetMode="External"/><Relationship Id="rId18" Type="http://schemas.openxmlformats.org/officeDocument/2006/relationships/hyperlink" Target="https://eprint.iacr.org/2023/1435" TargetMode="External"/><Relationship Id="rId19" Type="http://schemas.openxmlformats.org/officeDocument/2006/relationships/hyperlink" Target="https://link.springer.com/chapter/10.1007/978-981-92-3015-0_2" TargetMode="External"/><Relationship Id="rId20" Type="http://schemas.openxmlformats.org/officeDocument/2006/relationships/hyperlink" Target="https://link.springer.com/article/10.1007/s10586-026-06226-2" TargetMode="External"/><Relationship Id="rId21" Type="http://schemas.openxmlformats.org/officeDocument/2006/relationships/hyperlink" Target="https://eprint.iacr.org/2018/1094" TargetMode="External"/><Relationship Id="rId22" Type="http://schemas.openxmlformats.org/officeDocument/2006/relationships/hyperlink" Target="https://eprint.iacr.org/2022/1246" TargetMode="External"/><Relationship Id="rId23" Type="http://schemas.openxmlformats.org/officeDocument/2006/relationships/hyperlink" Target="https://eprint.iacr.org/2021/970" TargetMode="External"/><Relationship Id="rId24" Type="http://schemas.openxmlformats.org/officeDocument/2006/relationships/hyperlink" Target="https://research-repository.griffith.edu.au/server/api/core/bitstreams/bea45f34-cb40-47b4-b6da-4bde6690f252/content" TargetMode="External"/><Relationship Id="rId25" Type="http://schemas.openxmlformats.org/officeDocument/2006/relationships/hyperlink" Target="https://eprint.iacr.org/2023/489" TargetMode="External"/><Relationship Id="rId26" Type="http://schemas.openxmlformats.org/officeDocument/2006/relationships/hyperlink" Target="https://eprint.iacr.org/2021/222" TargetMode="External"/><Relationship Id="rId27" Type="http://schemas.openxmlformats.org/officeDocument/2006/relationships/hyperlink" Target="https://gitlab.com/raykzhao/latte" TargetMode="External"/><Relationship Id="rId28" Type="http://schemas.openxmlformats.org/officeDocument/2006/relationships/hyperlink" Target="https://eprint.iacr.org/2024/1765" TargetMode="External"/><Relationship Id="rId29" Type="http://schemas.openxmlformats.org/officeDocument/2006/relationships/hyperlink" Target="https://www.maths.ox.ac.uk/system/files/attachments/pqcrypto2024-Tomita_0.pdf" TargetMode="External"/><Relationship Id="rId30" Type="http://schemas.openxmlformats.org/officeDocument/2006/relationships/hyperlink" Target="https://csrc.nist.gov/pubs/fips/203/final" TargetMode="External"/><Relationship Id="rId31" Type="http://schemas.openxmlformats.org/officeDocument/2006/relationships/hyperlink" Target="https://github.com/malb/lattice-estimato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IBME 项目现状与完整重建研究报告</dc:title>
  <dc:subject>赛题核验 原型审查 文献比较 重建验收路线</dc:subject>
  <dc:creator>IBME 项目研究与核验</dc:creator>
  <cp:keywords>IBME HIBE IBS LWE SIS 环格 模格 认证 隐私</cp:keywords>
  <dc:description>代码核验基点 b15afd675b1c53029d9b8f8909569ccc7b060fa8</dc:description>
  <cp:lastModifiedBy/>
  <cp:revision>1</cp:revision>
  <dcterms:created xsi:type="dcterms:W3CDTF">2013-12-23T23:15:00Z</dcterms:created>
  <dcterms:modified xsi:type="dcterms:W3CDTF">2013-12-23T23:15:00Z</dcterms:modified>
  <cp:category/>
</cp:coreProperties>
</file>