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jc w:val="center"/>
      </w:pPr>
      <w:r>
        <w:rPr>
          <w:b w:val="0"/>
        </w:rPr>
        <w:t>基于多类格困难假设的抗量子</w:t>
        <w:br/>
        <w:t>身份基匹配加密通用设计与优化实现</w:t>
      </w:r>
    </w:p>
    <w:p>
      <w:pPr>
        <w:pStyle w:val="Subtitle"/>
        <w:jc w:val="center"/>
      </w:pPr>
      <w:r>
        <w:rPr>
          <w:b w:val="0"/>
        </w:rPr>
        <w:t>研究报告初稿 v0.1</w:t>
      </w:r>
    </w:p>
    <w:p>
      <w:pPr>
        <w:pStyle w:val="Subtitle"/>
        <w:jc w:val="center"/>
      </w:pPr>
      <w:r>
        <w:rPr>
          <w:b w:val="0"/>
        </w:rPr>
        <w:t>2026年10月19日</w:t>
      </w:r>
    </w:p>
    <w:p>
      <w:r>
        <w:rPr>
          <w:b w:val="0"/>
        </w:rPr>
        <w:t>本稿面向密码技术竞赛作品的技术审阅与后续成稿，依据仓库提交 b92967b92a94a4f8e18ae177ea299167b60aac67 及其中归档的公开实验材料编写。正文已有完整构造、实现方法和实验分析；最终三组代表组合、本届提交模板与来源许可汇总仍待收口。本文为新建研究稿，不覆盖旧作品报告。</w:t>
      </w:r>
    </w:p>
    <w:p>
      <w:pPr>
        <w:pStyle w:val="Heading1"/>
        <w:pageBreakBefore/>
      </w:pPr>
      <w:r>
        <w:t>摘要</w:t>
      </w:r>
    </w:p>
    <w:p>
      <w:r>
        <w:rPr>
          <w:b w:val="0"/>
        </w:rPr>
        <w:t>身份基匹配加密要求通信双方同时满足身份条件。发送者指定接收身份，接收者指定期望的发送身份，只有双方身份均匹配时才能恢复消息。这一需求将消息保密与发送来源认证结合起来，但从论文构造走向可运行系统，还需要解决底层算法替换、参数独立配置、签名载荷容量、密文字节完整性和持久状态恢复等问题。</w:t>
      </w:r>
    </w:p>
    <w:p>
      <w:r>
        <w:rPr>
          <w:b w:val="0"/>
        </w:rPr>
        <w:t>本作品采用 Wang 等提出的两层匿名分层身份基加密与身份基签名通用构造，建立 HIBE、IBS 与协议装配相互分离的软件框架。系统把接收身份置于 HIBE 第一层，把发送身份置于第二层，并使用 IBS 认证接收身份与消息。针对原语消息容量与应用载荷之间的差异，实现以32字节种子为入口的混合加密；针对原始密文表示可能存在的可修改空间，实现绑定完整内层密文字节的一次性签名包装。统一配置、规范序列化、固定发钥服务和状态加载机制用于支持多实例切换与新进程恢复。</w:t>
      </w:r>
    </w:p>
    <w:p>
      <w:r>
        <w:rPr>
          <w:b w:val="0"/>
        </w:rPr>
        <w:t>截至本稿基点，19条候选路线中已有3种 HIBE 和10种 IBS 的独立完整研究后端；该数量不等于13套完整 IB-ME 系统。本文重点分析 LATTE 分别与 BNN认证转换下的 ML-DSA-44、Falcon-512以及 Luo 模格 IBS 组成的三组完整系统。三组均已完成3套独立系统状态、9对热运行加解密和9次恢复后解密。在双方原始身份各64字节、应用消息32字节的归档实验中，热加密中位数为0.211125、0.200346、0.364461秒，热解密为0.280116、0.249274、0.229220秒。另对第一组完成同参数部署消融，将运行副本从 Windows 挂载目录移至 WSL 文件系统后，完整热加密与解密中位数由206.087和258.640毫秒降至10.921和56.360毫秒。该收益来自本机部署与文件访问开销，不能解释为格密码算法本身获得相同倍数的加速。</w:t>
      </w:r>
    </w:p>
    <w:p>
      <w:r>
        <w:rPr>
          <w:b w:val="0"/>
        </w:rPr>
        <w:t>作品已形成命令行与网页演示，覆盖合法匹配、身份错配、密文修改和持久状态恢复。理论说明引用原文，并沿用项目所选算法安全、HIBE具有身份匿名性的工程工作前提。原文未明确给出的性质作为工作假设说明；功能和性能实验不替代安全证明。当前组合保持研究执行状态，不授予整体系统 NIST 安全等级。最终三代表尚未锁定，高维目标参数运行及部分原语接入仍未完成。</w:t>
      </w:r>
    </w:p>
    <w:p>
      <w:r>
        <w:rPr>
          <w:b w:val="0"/>
        </w:rPr>
        <w:t>关键词：身份基匹配加密；格密码；分层身份基加密；身份基签名；可复现评测</w:t>
      </w:r>
    </w:p>
    <w:p>
      <w:pPr>
        <w:pStyle w:val="Heading1"/>
        <w:pageBreakBefore/>
      </w:pPr>
      <w:r>
        <w:t>目录</w:t>
      </w:r>
    </w:p>
    <w:p>
      <w:pPr>
        <w:spacing w:after="200"/>
        <w:ind w:firstLine="0"/>
      </w:pPr>
      <w:r>
        <w:rPr>
          <w:b w:val="0"/>
        </w:rPr>
        <w:t>第1章 作品概述</w:t>
      </w:r>
    </w:p>
    <w:p>
      <w:pPr>
        <w:spacing w:after="200"/>
        <w:ind w:firstLine="0"/>
      </w:pPr>
      <w:r>
        <w:rPr>
          <w:b w:val="0"/>
        </w:rPr>
        <w:t>第2章 总体方案与安全依据</w:t>
      </w:r>
    </w:p>
    <w:p>
      <w:pPr>
        <w:spacing w:after="200"/>
        <w:ind w:firstLine="0"/>
      </w:pPr>
      <w:r>
        <w:rPr>
          <w:b w:val="0"/>
        </w:rPr>
        <w:t>第3章 多算法实例化与参数选择</w:t>
      </w:r>
    </w:p>
    <w:p>
      <w:pPr>
        <w:spacing w:after="200"/>
        <w:ind w:firstLine="0"/>
      </w:pPr>
      <w:r>
        <w:rPr>
          <w:b w:val="0"/>
        </w:rPr>
        <w:t>第4章 系统实现与关键技术</w:t>
      </w:r>
    </w:p>
    <w:p>
      <w:pPr>
        <w:spacing w:after="200"/>
        <w:ind w:firstLine="0"/>
      </w:pPr>
      <w:r>
        <w:rPr>
          <w:b w:val="0"/>
        </w:rPr>
        <w:t>第5章 实验设计结果与分析</w:t>
      </w:r>
    </w:p>
    <w:p>
      <w:pPr>
        <w:spacing w:after="200"/>
        <w:ind w:firstLine="0"/>
      </w:pPr>
      <w:r>
        <w:rPr>
          <w:b w:val="0"/>
        </w:rPr>
        <w:t>第6章 应用展示与技术贡献</w:t>
      </w:r>
    </w:p>
    <w:p>
      <w:pPr>
        <w:spacing w:after="200"/>
        <w:ind w:firstLine="0"/>
      </w:pPr>
      <w:r>
        <w:rPr>
          <w:b w:val="0"/>
        </w:rPr>
        <w:t>第7章 总结与后续工作</w:t>
      </w:r>
    </w:p>
    <w:p>
      <w:pPr>
        <w:spacing w:after="200"/>
        <w:ind w:firstLine="0"/>
      </w:pPr>
      <w:r>
        <w:rPr>
          <w:b w:val="0"/>
        </w:rPr>
        <w:t>附录A 候选路线与实现状态</w:t>
      </w:r>
    </w:p>
    <w:p>
      <w:pPr>
        <w:spacing w:after="200"/>
        <w:ind w:firstLine="0"/>
      </w:pPr>
      <w:r>
        <w:rPr>
          <w:b w:val="0"/>
        </w:rPr>
        <w:t>附录B 参数与公开证据索引</w:t>
      </w:r>
    </w:p>
    <w:p>
      <w:pPr>
        <w:spacing w:after="200"/>
        <w:ind w:firstLine="0"/>
      </w:pPr>
      <w:r>
        <w:rPr>
          <w:b w:val="0"/>
        </w:rPr>
        <w:t>参考文献</w:t>
      </w:r>
    </w:p>
    <w:p>
      <w:pPr>
        <w:pStyle w:val="Heading1"/>
        <w:pageBreakBefore/>
      </w:pPr>
      <w:r>
        <w:t>第1章 作品概述</w:t>
      </w:r>
    </w:p>
    <w:p>
      <w:pPr>
        <w:pStyle w:val="Heading2"/>
      </w:pPr>
      <w:r>
        <w:t>1.1 问题与应用场景</w:t>
      </w:r>
    </w:p>
    <w:p>
      <w:r>
        <w:rPr>
          <w:b w:val="0"/>
        </w:rPr>
        <w:t>考虑一个按身份投递保密消息的场景。发送者甲希望把消息交给身份为乙的接收者，乙希望只接收来自甲的消息。仅有接收者加密并不足以满足这一需求，因为能够生成密文不等于具有期望发送身份；仅有数字签名也不足以限制谁能读取消息。身份基匹配加密将两个条件放入一个协议，使解密同时依赖接收者持有的密钥身份和接收者给定的发送身份。[1]</w:t>
      </w:r>
    </w:p>
    <w:p>
      <w:r>
        <w:rPr>
          <w:b w:val="0"/>
        </w:rPr>
        <w:t>本作品使用上述场景组织设计和演示。发送者在加密时使用自身签名密钥并指定接收身份，接收者在解密时使用自身接收密钥并指定期望发送身份。任何一侧不匹配，系统均应返回明确失败。这里的身份是协议使用的字节串；如何将邮箱、机构编号或自然人身份可信映射到该字节串，属于应用与发钥管理职责。原型未实现实名核验、开放注册或跨机构身份治理。</w:t>
      </w:r>
    </w:p>
    <w:p>
      <w:r>
        <w:rPr>
          <w:b w:val="0"/>
        </w:rPr>
        <w:t>该原型用于展示算法和系统实现，不把演示场景写成已经落地的行业应用。它假定主密钥由可信发钥机构管理。发钥机构掌握主秘密，身份基体系固有的信任与密钥托管关系仍然存在，不能将系统描述为无信任第三方通信。</w:t>
      </w:r>
    </w:p>
    <w:p>
      <w:pPr>
        <w:pStyle w:val="Heading2"/>
      </w:pPr>
      <w:r>
        <w:t>1.2 自拟题目与验收对应</w:t>
      </w:r>
    </w:p>
    <w:p>
      <w:r>
        <w:rPr>
          <w:b w:val="0"/>
        </w:rPr>
        <w:t>仓库保存的2026年第十一届竞赛自拟题目要求模块化实现多类格方案，支持完整密钥生命周期、双向身份匹配、消息认证、密文完整性和统一评测。本稿按实际交付回答这些要求，而不把算法目录中的每条路线都当成已经可展示的完整系统。</w:t>
      </w:r>
    </w:p>
    <w:p>
      <w:pPr>
        <w:pStyle w:val="Caption"/>
        <w:keepNext/>
        <w:jc w:val="center"/>
      </w:pPr>
      <w:r>
        <w:t>表1 自拟题目与已有成果对照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231"/>
        <w:gridCol w:w="3572"/>
      </w:tblGrid>
      <w:tr>
        <w:trPr>
          <w:cantSplit/>
          <w:tblHeader/>
        </w:trPr>
        <w:tc>
          <w:tcPr>
            <w:tcW w:type="dxa" w:w="2268"/>
            <w:vAlign w:val="center"/>
            <w:tcMar>
              <w:top w:w="60" w:type="dxa"/>
              <w:bottom w:w="60" w:type="dxa"/>
              <w:left w:w="95" w:type="dxa"/>
              <w:right w:w="95" w:type="dxa"/>
            </w:tcMar>
            <w:shd w:fill="E9EDF0"/>
          </w:tcPr>
          <w:p>
            <w:pPr>
              <w:keepNext/>
              <w:spacing w:line="283" w:lineRule="auto" w:after="0"/>
              <w:ind w:firstLine="0"/>
              <w:jc w:val="center"/>
            </w:pPr>
            <w:r>
              <w:rPr>
                <w:b/>
                <w:sz w:val="18"/>
              </w:rPr>
              <w:t>题目要求</w:t>
            </w:r>
          </w:p>
        </w:tc>
        <w:tc>
          <w:tcPr>
            <w:tcW w:type="dxa" w:w="3231"/>
            <w:vAlign w:val="center"/>
            <w:tcMar>
              <w:top w:w="60" w:type="dxa"/>
              <w:bottom w:w="60" w:type="dxa"/>
              <w:left w:w="95" w:type="dxa"/>
              <w:right w:w="95" w:type="dxa"/>
            </w:tcMar>
            <w:shd w:fill="E9EDF0"/>
          </w:tcPr>
          <w:p>
            <w:pPr>
              <w:keepNext/>
              <w:spacing w:line="283" w:lineRule="auto" w:after="0"/>
              <w:ind w:firstLine="0"/>
              <w:jc w:val="center"/>
            </w:pPr>
            <w:r>
              <w:rPr>
                <w:b/>
                <w:sz w:val="18"/>
              </w:rPr>
              <w:t>已有实现与证据</w:t>
            </w:r>
          </w:p>
        </w:tc>
        <w:tc>
          <w:tcPr>
            <w:tcW w:type="dxa" w:w="3572"/>
            <w:vAlign w:val="center"/>
            <w:tcMar>
              <w:top w:w="60" w:type="dxa"/>
              <w:bottom w:w="60" w:type="dxa"/>
              <w:left w:w="95" w:type="dxa"/>
              <w:right w:w="95" w:type="dxa"/>
            </w:tcMar>
            <w:shd w:fill="E9EDF0"/>
          </w:tcPr>
          <w:p>
            <w:pPr>
              <w:keepNext/>
              <w:spacing w:line="283" w:lineRule="auto" w:after="0"/>
              <w:ind w:firstLine="0"/>
              <w:jc w:val="center"/>
            </w:pPr>
            <w:r>
              <w:rPr>
                <w:b/>
                <w:sz w:val="18"/>
              </w:rPr>
              <w:t>本稿判断</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系统建立与双方发钥</w:t>
            </w:r>
          </w:p>
        </w:tc>
        <w:tc>
          <w:tcPr>
            <w:tcW w:type="dxa" w:w="3231"/>
            <w:vAlign w:val="center"/>
            <w:tcMar>
              <w:top w:w="60" w:type="dxa"/>
              <w:bottom w:w="60" w:type="dxa"/>
              <w:left w:w="95" w:type="dxa"/>
              <w:right w:w="95" w:type="dxa"/>
            </w:tcMar>
            <w:shd w:fill="FFFFFF"/>
          </w:tcPr>
          <w:p>
            <w:pPr>
              <w:keepNext/>
              <w:spacing w:line="283" w:lineRule="auto" w:after="0"/>
              <w:ind w:firstLine="0"/>
            </w:pPr>
            <w:r>
              <w:rPr>
                <w:b w:val="0"/>
                <w:sz w:val="18"/>
              </w:rPr>
              <w:t>统一 Setup、skgen、rkgen；三组完整收据</w:t>
            </w:r>
          </w:p>
        </w:tc>
        <w:tc>
          <w:tcPr>
            <w:tcW w:type="dxa" w:w="3572"/>
            <w:vAlign w:val="center"/>
            <w:tcMar>
              <w:top w:w="60" w:type="dxa"/>
              <w:bottom w:w="60" w:type="dxa"/>
              <w:left w:w="95" w:type="dxa"/>
              <w:right w:w="95" w:type="dxa"/>
            </w:tcMar>
            <w:shd w:fill="FFFFFF"/>
          </w:tcPr>
          <w:p>
            <w:pPr>
              <w:keepNext/>
              <w:spacing w:line="283" w:lineRule="auto" w:after="0"/>
              <w:ind w:firstLine="0"/>
              <w:jc w:val="center"/>
            </w:pPr>
            <w:r>
              <w:rPr>
                <w:b w:val="0"/>
                <w:sz w:val="18"/>
              </w:rPr>
              <w:t>已有实际运行</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双向身份匹配</w:t>
            </w:r>
          </w:p>
        </w:tc>
        <w:tc>
          <w:tcPr>
            <w:tcW w:type="dxa" w:w="3231"/>
            <w:vAlign w:val="center"/>
            <w:tcMar>
              <w:top w:w="60" w:type="dxa"/>
              <w:bottom w:w="60" w:type="dxa"/>
              <w:left w:w="95" w:type="dxa"/>
              <w:right w:w="95" w:type="dxa"/>
            </w:tcMar>
            <w:shd w:fill="FFFFFF"/>
          </w:tcPr>
          <w:p>
            <w:pPr>
              <w:keepNext/>
              <w:spacing w:line="283" w:lineRule="auto" w:after="0"/>
              <w:ind w:firstLine="0"/>
              <w:jc w:val="center"/>
            </w:pPr>
            <w:r>
              <w:rPr>
                <w:b w:val="0"/>
                <w:sz w:val="18"/>
              </w:rPr>
              <w:t>合法匹配及三类错配；Web与CLI验收</w:t>
            </w:r>
          </w:p>
        </w:tc>
        <w:tc>
          <w:tcPr>
            <w:tcW w:type="dxa" w:w="3572"/>
            <w:vAlign w:val="center"/>
            <w:tcMar>
              <w:top w:w="60" w:type="dxa"/>
              <w:bottom w:w="60" w:type="dxa"/>
              <w:left w:w="95" w:type="dxa"/>
              <w:right w:w="95" w:type="dxa"/>
            </w:tcMar>
            <w:shd w:fill="FFFFFF"/>
          </w:tcPr>
          <w:p>
            <w:pPr>
              <w:keepNext/>
              <w:spacing w:line="283" w:lineRule="auto" w:after="0"/>
              <w:ind w:firstLine="0"/>
              <w:jc w:val="center"/>
            </w:pPr>
            <w:r>
              <w:rPr>
                <w:b w:val="0"/>
                <w:sz w:val="18"/>
              </w:rPr>
              <w:t>已有实际运行</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至少一种 LWE与SIS 路线的完整实例化</w:t>
            </w:r>
          </w:p>
        </w:tc>
        <w:tc>
          <w:tcPr>
            <w:tcW w:type="dxa" w:w="3231"/>
            <w:vAlign w:val="center"/>
            <w:tcMar>
              <w:top w:w="60" w:type="dxa"/>
              <w:bottom w:w="60" w:type="dxa"/>
              <w:left w:w="95" w:type="dxa"/>
              <w:right w:w="95" w:type="dxa"/>
            </w:tcMar>
            <w:shd w:fill="FFFFFF"/>
          </w:tcPr>
          <w:p>
            <w:pPr>
              <w:keepNext/>
              <w:spacing w:line="283" w:lineRule="auto" w:after="0"/>
              <w:ind w:firstLine="0"/>
            </w:pPr>
            <w:r>
              <w:rPr>
                <w:b w:val="0"/>
                <w:sz w:val="18"/>
              </w:rPr>
              <w:t>CHKP研究HIBE与Luo等接线已有；见E06与目录</w:t>
            </w:r>
          </w:p>
        </w:tc>
        <w:tc>
          <w:tcPr>
            <w:tcW w:type="dxa" w:w="3572"/>
            <w:vAlign w:val="center"/>
            <w:tcMar>
              <w:top w:w="60" w:type="dxa"/>
              <w:bottom w:w="60" w:type="dxa"/>
              <w:left w:w="95" w:type="dxa"/>
              <w:right w:w="95" w:type="dxa"/>
            </w:tcMar>
            <w:shd w:fill="FFFFFF"/>
          </w:tcPr>
          <w:p>
            <w:pPr>
              <w:keepNext/>
              <w:spacing w:line="283" w:lineRule="auto" w:after="0"/>
              <w:ind w:firstLine="0"/>
              <w:jc w:val="center"/>
            </w:pPr>
            <w:r>
              <w:rPr>
                <w:b w:val="0"/>
                <w:sz w:val="18"/>
              </w:rPr>
              <w:t>研究参数功能成立，不能由此声称目标参数达标</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非法身份与篡改拒绝</w:t>
            </w:r>
          </w:p>
        </w:tc>
        <w:tc>
          <w:tcPr>
            <w:tcW w:type="dxa" w:w="3231"/>
            <w:vAlign w:val="center"/>
            <w:tcMar>
              <w:top w:w="60" w:type="dxa"/>
              <w:bottom w:w="60" w:type="dxa"/>
              <w:left w:w="95" w:type="dxa"/>
              <w:right w:w="95" w:type="dxa"/>
            </w:tcMar>
            <w:shd w:fill="FFFFFF"/>
          </w:tcPr>
          <w:p>
            <w:pPr>
              <w:keepNext/>
              <w:spacing w:line="283" w:lineRule="auto" w:after="0"/>
              <w:ind w:firstLine="0"/>
              <w:jc w:val="center"/>
            </w:pPr>
            <w:r>
              <w:rPr>
                <w:b w:val="0"/>
                <w:sz w:val="18"/>
              </w:rPr>
              <w:t>IBS绑定、BYTEAUTH、严格解析及负向场景</w:t>
            </w:r>
          </w:p>
        </w:tc>
        <w:tc>
          <w:tcPr>
            <w:tcW w:type="dxa" w:w="3572"/>
            <w:vAlign w:val="center"/>
            <w:tcMar>
              <w:top w:w="60" w:type="dxa"/>
              <w:bottom w:w="60" w:type="dxa"/>
              <w:left w:w="95" w:type="dxa"/>
              <w:right w:w="95" w:type="dxa"/>
            </w:tcMar>
            <w:shd w:fill="FFFFFF"/>
          </w:tcPr>
          <w:p>
            <w:pPr>
              <w:keepNext/>
              <w:spacing w:line="283" w:lineRule="auto" w:after="0"/>
              <w:ind w:firstLine="0"/>
              <w:jc w:val="center"/>
            </w:pPr>
            <w:r>
              <w:rPr>
                <w:b w:val="0"/>
                <w:sz w:val="18"/>
              </w:rPr>
              <w:t>已有功能证据；理论按引用与工作假设说明</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多方案切换</w:t>
            </w:r>
          </w:p>
        </w:tc>
        <w:tc>
          <w:tcPr>
            <w:tcW w:type="dxa" w:w="3231"/>
            <w:vAlign w:val="center"/>
            <w:tcMar>
              <w:top w:w="60" w:type="dxa"/>
              <w:bottom w:w="60" w:type="dxa"/>
              <w:left w:w="95" w:type="dxa"/>
              <w:right w:w="95" w:type="dxa"/>
            </w:tcMar>
            <w:shd w:fill="FFFFFF"/>
          </w:tcPr>
          <w:p>
            <w:pPr>
              <w:keepNext/>
              <w:spacing w:line="283" w:lineRule="auto" w:after="0"/>
              <w:ind w:firstLine="0"/>
              <w:jc w:val="center"/>
            </w:pPr>
            <w:r>
              <w:rPr>
                <w:b w:val="0"/>
                <w:sz w:val="18"/>
              </w:rPr>
              <w:t>独立组件接口、配置、默认登记与预检</w:t>
            </w:r>
          </w:p>
        </w:tc>
        <w:tc>
          <w:tcPr>
            <w:tcW w:type="dxa" w:w="3572"/>
            <w:vAlign w:val="center"/>
            <w:tcMar>
              <w:top w:w="60" w:type="dxa"/>
              <w:bottom w:w="60" w:type="dxa"/>
              <w:left w:w="95" w:type="dxa"/>
              <w:right w:w="95" w:type="dxa"/>
            </w:tcMar>
            <w:shd w:fill="FFFFFF"/>
          </w:tcPr>
          <w:p>
            <w:pPr>
              <w:keepNext/>
              <w:spacing w:line="283" w:lineRule="auto" w:after="0"/>
              <w:ind w:firstLine="0"/>
              <w:jc w:val="center"/>
            </w:pPr>
            <w:r>
              <w:rPr>
                <w:b w:val="0"/>
                <w:sz w:val="18"/>
              </w:rPr>
              <w:t>部分候选仅为单体后端</w:t>
            </w:r>
          </w:p>
        </w:tc>
      </w:tr>
      <w:tr>
        <w:trPr>
          <w:cantSplit/>
        </w:trPr>
        <w:tc>
          <w:tcPr>
            <w:tcW w:type="dxa" w:w="2268"/>
            <w:vAlign w:val="center"/>
            <w:tcMar>
              <w:top w:w="60" w:type="dxa"/>
              <w:bottom w:w="60" w:type="dxa"/>
              <w:left w:w="95" w:type="dxa"/>
              <w:right w:w="95" w:type="dxa"/>
            </w:tcMar>
            <w:shd w:fill="FFFFFF"/>
          </w:tcPr>
          <w:p>
            <w:pPr>
              <w:keepNext w:val="0"/>
              <w:spacing w:line="283" w:lineRule="auto" w:after="0"/>
              <w:ind w:firstLine="0"/>
            </w:pPr>
            <w:r>
              <w:rPr>
                <w:b w:val="0"/>
                <w:sz w:val="18"/>
              </w:rPr>
              <w:t>时间尺寸内存与对比</w:t>
            </w:r>
          </w:p>
        </w:tc>
        <w:tc>
          <w:tcPr>
            <w:tcW w:type="dxa" w:w="3231"/>
            <w:vAlign w:val="center"/>
            <w:tcMar>
              <w:top w:w="60" w:type="dxa"/>
              <w:bottom w:w="60" w:type="dxa"/>
              <w:left w:w="95" w:type="dxa"/>
              <w:right w:w="95" w:type="dxa"/>
            </w:tcMar>
            <w:shd w:fill="FFFFFF"/>
          </w:tcPr>
          <w:p>
            <w:pPr>
              <w:keepNext w:val="0"/>
              <w:spacing w:line="283" w:lineRule="auto" w:after="0"/>
              <w:ind w:firstLine="0"/>
              <w:jc w:val="center"/>
            </w:pPr>
            <w:r>
              <w:rPr>
                <w:b w:val="0"/>
                <w:sz w:val="18"/>
              </w:rPr>
              <w:t>三组重复基线、C64B补充、部署消融</w:t>
            </w:r>
          </w:p>
        </w:tc>
        <w:tc>
          <w:tcPr>
            <w:tcW w:type="dxa" w:w="3572"/>
            <w:vAlign w:val="center"/>
            <w:tcMar>
              <w:top w:w="60" w:type="dxa"/>
              <w:bottom w:w="60" w:type="dxa"/>
              <w:left w:w="95" w:type="dxa"/>
              <w:right w:w="95" w:type="dxa"/>
            </w:tcMar>
            <w:shd w:fill="FFFFFF"/>
          </w:tcPr>
          <w:p>
            <w:pPr>
              <w:keepNext w:val="0"/>
              <w:spacing w:line="283" w:lineRule="auto" w:after="0"/>
              <w:ind w:firstLine="0"/>
              <w:jc w:val="center"/>
            </w:pPr>
            <w:r>
              <w:rPr>
                <w:b w:val="0"/>
                <w:sz w:val="18"/>
              </w:rPr>
              <w:t>已有数据；最终三代表未选定</w:t>
            </w:r>
          </w:p>
        </w:tc>
      </w:tr>
    </w:tbl>
    <w:p>
      <w:pPr>
        <w:spacing w:after="40" w:line="96" w:lineRule="auto"/>
      </w:pPr>
    </w:p>
    <w:p>
      <w:r>
        <w:rPr>
          <w:b w:val="0"/>
        </w:rPr>
        <w:t>表中“完整实例化”包含实际调用对应原语及公共协议，不以 mock 或接口形状代替密码运算。“目标参数达标”则涉及实际版本、参数依据、容量和部署条件，需要单独结论。两个层次同时保留，便于评审判断项目已经实现什么、还欠缺什么。</w:t>
      </w:r>
    </w:p>
    <w:p>
      <w:pPr>
        <w:pStyle w:val="Heading2"/>
      </w:pPr>
      <w:r>
        <w:t>1.3 研究内容与作品贡献</w:t>
      </w:r>
    </w:p>
    <w:p>
      <w:r>
        <w:rPr>
          <w:b w:val="0"/>
        </w:rPr>
        <w:t>本作品首先实现可替换的 HIBE 与 IBS 接口，使两类原语分别配置参数，再由公共协议进行能力和容量检查。此设计避免把某个具体矩阵或陷门表示写入协议层，也使更换 IBS 时能够沿用相同的双向匹配流程。</w:t>
      </w:r>
    </w:p>
    <w:p>
      <w:r>
        <w:rPr>
          <w:b w:val="0"/>
        </w:rPr>
        <w:t>其次，围绕论文算法之外的实际运行需求，实现规范对象编码、配置绑定、混合载荷、完整密文字节认证和固定发钥状态。这些机制使“同一身份重复使用”和“程序重启后继续使用”成为可验证的系统行为，而不只是一段内存中的诚实签验脚本。</w:t>
      </w:r>
    </w:p>
    <w:p>
      <w:r>
        <w:rPr>
          <w:b w:val="0"/>
        </w:rPr>
        <w:t>再次，建立以完整系统为对象的评测材料，并针对实际热点进行受控优化。本文将原语采样、编码压缩、资源投影和完整系统部署实验分开讨论，避免用单体签名变小推断完整密文等比例变小，或用小维度运行推断目标规模已经可用。</w:t>
      </w:r>
    </w:p>
    <w:p>
      <w:r>
        <w:rPr>
          <w:b w:val="0"/>
        </w:rPr>
        <w:t>通用构造、格原语、认证转换及底层签名库分别来自既有文献与实现。作品贡献集中于模块化实例化、工程机制、实现修订和可核查的实验分析，不宣称重新发明这些密码算法。</w:t>
      </w:r>
    </w:p>
    <w:p>
      <w:pPr>
        <w:pStyle w:val="Heading2"/>
      </w:pPr>
      <w:r>
        <w:t>1.4 报告范围</w:t>
      </w:r>
    </w:p>
    <w:p>
      <w:r>
        <w:rPr>
          <w:b w:val="0"/>
        </w:rPr>
        <w:t>本稿以普通隐私、加强认证、自我伪造防护和字节篡改拒绝为设计目标。Boyen–Li增强隐私及其 Ext、ReExt 操作不在实现范围。正文仅保留理解设计所需的格与原语概念，重点篇幅用于具体流程、参数、实现和实验。完整候选状态与证据位置放在附录，防止正文变成逐日开发记录。</w:t>
      </w:r>
    </w:p>
    <w:p>
      <w:pPr>
        <w:pStyle w:val="Heading1"/>
        <w:pageBreakBefore/>
      </w:pPr>
      <w:r>
        <w:t>第2章 总体方案与安全依据</w:t>
      </w:r>
    </w:p>
    <w:p>
      <w:pPr>
        <w:pStyle w:val="Heading2"/>
      </w:pPr>
      <w:r>
        <w:t>2.1 原语与角色</w:t>
      </w:r>
    </w:p>
    <w:p>
      <w:r>
        <w:rPr>
          <w:b w:val="0"/>
        </w:rPr>
        <w:t>分层身份基加密 HIBE 允许为身份路径生成密钥并向下委派。本文只需两层路径：父身份为接收者 r，子身份为发送者 s。接收者持有 r 的父级密钥，在指定期望发送者 s 后得到叶密钥。身份基签名 IBS 则允许使用主公钥和身份验证签名，发送者的签名密钥由机构按身份发放。[1–5]</w:t>
      </w:r>
    </w:p>
    <w:p>
      <w:r>
        <w:rPr>
          <w:b w:val="0"/>
        </w:rPr>
        <w:t>LWE类问题提供带噪声线性关系的困难性基础，SIS类问题对应寻找满足模线性关系的短向量。环与模结构改变运算对象和实现成本。本文按每个实际后端记录其采用的假设与版本，不把 LWE、环LWE、模LWE、NTRU结构简单加总为互不相关的安全保证。困难假设、原语方案和完整组合采用不同计数口径。</w:t>
      </w:r>
    </w:p>
    <w:p>
      <w:r>
        <w:rPr>
          <w:b w:val="0"/>
        </w:rPr>
        <w:t>系统包含可信发钥机构、发送者、接收者和可传输密文的信道。信道可以修改、截断或追加密文，因此解密过程必须先检查外层格式和认证，再恢复内部消息。实现层把预期密码学拒绝与运行异常分开报告，防止依赖缺失或后端崩溃被当成成功抵御攻击。</w:t>
      </w:r>
    </w:p>
    <w:p>
      <w:pPr>
        <w:keepNext/>
        <w:ind w:firstLine="0"/>
        <w:jc w:val="center"/>
      </w:pPr>
      <w:r>
        <w:drawing>
          <wp:inline xmlns:a="http://schemas.openxmlformats.org/drawingml/2006/main" xmlns:pic="http://schemas.openxmlformats.org/drawingml/2006/picture">
            <wp:extent cx="5760000" cy="2227200"/>
            <wp:docPr id="1" name="Picture 1"/>
            <wp:cNvGraphicFramePr>
              <a:graphicFrameLocks noChangeAspect="1"/>
            </wp:cNvGraphicFramePr>
            <a:graphic>
              <a:graphicData uri="http://schemas.openxmlformats.org/drawingml/2006/picture">
                <pic:pic>
                  <pic:nvPicPr>
                    <pic:cNvPr id="0" name="matching.png"/>
                    <pic:cNvPicPr/>
                  </pic:nvPicPr>
                  <pic:blipFill>
                    <a:blip r:embed="rId11"/>
                    <a:stretch>
                      <a:fillRect/>
                    </a:stretch>
                  </pic:blipFill>
                  <pic:spPr>
                    <a:xfrm>
                      <a:off x="0" y="0"/>
                      <a:ext cx="5760000" cy="2227200"/>
                    </a:xfrm>
                    <a:prstGeom prst="rect"/>
                  </pic:spPr>
                </pic:pic>
              </a:graphicData>
            </a:graphic>
          </wp:inline>
        </w:drawing>
      </w:r>
    </w:p>
    <w:p>
      <w:pPr>
        <w:pStyle w:val="Caption"/>
        <w:keepNext w:val="0"/>
        <w:jc w:val="center"/>
      </w:pPr>
      <w:r>
        <w:t>图1 身份双向匹配与两层路径</w:t>
      </w:r>
    </w:p>
    <w:p>
      <w:r>
        <w:rPr>
          <w:b w:val="0"/>
        </w:rPr>
        <w:t>图1中 s 是发送密钥绑定的实际身份，s′是接收者期望的发送身份；r 是加密目标，r′是接收密钥绑定的身份。诚实恢复条件为 s=s′且 r=r′。图示是正确性目标，拒绝效果仍由对应组合的实际试验验证。</w:t>
      </w:r>
    </w:p>
    <w:p>
      <w:pPr>
        <w:pStyle w:val="Heading2"/>
      </w:pPr>
      <w:r>
        <w:t>2.2 通用构造</w:t>
      </w:r>
    </w:p>
    <w:p>
      <w:r>
        <w:rPr>
          <w:b w:val="0"/>
        </w:rPr>
        <w:t>Wang等的通用构造将两层匿名HIBE与IBS组合。[1] 本项目基线流程与代码中的身份顺序一致，始终为 parent_id=rcv、child_id=phi，其中 phi 是发送密钥绑定的发送身份。令 Enc 表示带域分隔和长度前缀的规范编码，⊥表示密码学拒绝。</w:t>
      </w:r>
    </w:p>
    <w:p>
      <w:pPr>
        <w:pStyle w:val="Caption"/>
        <w:keepNext/>
        <w:jc w:val="center"/>
      </w:pPr>
      <w:r>
        <w:t>算法1 基线IBME流程</w:t>
      </w:r>
    </w:p>
    <w:p>
      <w:pPr>
        <w:spacing w:after="20" w:line="276" w:lineRule="auto"/>
        <w:ind w:firstLine="0" w:left="227"/>
      </w:pPr>
      <w:r>
        <w:rPr>
          <w:rFonts w:ascii="Consolas" w:hAnsi="Consolas" w:eastAsia="宋体"/>
          <w:sz w:val="18"/>
        </w:rPr>
        <w:t>Setup:</w:t>
      </w:r>
    </w:p>
    <w:p>
      <w:pPr>
        <w:spacing w:after="20" w:line="276" w:lineRule="auto"/>
        <w:ind w:firstLine="0" w:left="227"/>
      </w:pPr>
      <w:r>
        <w:rPr>
          <w:rFonts w:ascii="Consolas" w:hAnsi="Consolas" w:eastAsia="宋体"/>
          <w:sz w:val="18"/>
        </w:rPr>
        <w:t xml:space="preserve">  (hpk, hmsk) ← HIBE.Setup(ΠH)</w:t>
      </w:r>
    </w:p>
    <w:p>
      <w:pPr>
        <w:spacing w:after="20" w:line="276" w:lineRule="auto"/>
        <w:ind w:firstLine="0" w:left="227"/>
      </w:pPr>
      <w:r>
        <w:rPr>
          <w:rFonts w:ascii="Consolas" w:hAnsi="Consolas" w:eastAsia="宋体"/>
          <w:sz w:val="18"/>
        </w:rPr>
        <w:t xml:space="preserve">  (ipk, imsk) ← IBS.Setup(ΠI)</w:t>
      </w:r>
    </w:p>
    <w:p>
      <w:pPr>
        <w:spacing w:after="20" w:line="276" w:lineRule="auto"/>
        <w:ind w:firstLine="0" w:left="227"/>
      </w:pPr>
      <w:r>
        <w:rPr>
          <w:rFonts w:ascii="Consolas" w:hAnsi="Consolas" w:eastAsia="宋体"/>
          <w:sz w:val="18"/>
        </w:rPr>
        <w:t xml:space="preserve">  mpk ← (hpk, ipk); msk ← (hmsk, imsk)</w:t>
      </w:r>
    </w:p>
    <w:p>
      <w:pPr>
        <w:spacing w:after="20" w:line="276" w:lineRule="auto"/>
        <w:ind w:firstLine="0" w:left="227"/>
      </w:pPr>
      <w:r>
        <w:rPr>
          <w:rFonts w:ascii="Consolas" w:hAnsi="Consolas" w:eastAsia="宋体"/>
          <w:sz w:val="18"/>
        </w:rPr>
        <w:t>SenderKeyGen(msk, s):</w:t>
      </w:r>
    </w:p>
    <w:p>
      <w:pPr>
        <w:spacing w:after="20" w:line="276" w:lineRule="auto"/>
        <w:ind w:firstLine="0" w:left="227"/>
      </w:pPr>
      <w:r>
        <w:rPr>
          <w:rFonts w:ascii="Consolas" w:hAnsi="Consolas" w:eastAsia="宋体"/>
          <w:sz w:val="18"/>
        </w:rPr>
        <w:t xml:space="preserve">  sks ← IBS.Extract(imsk, s)</w:t>
      </w:r>
    </w:p>
    <w:p>
      <w:pPr>
        <w:spacing w:after="20" w:line="276" w:lineRule="auto"/>
        <w:ind w:firstLine="0" w:left="227"/>
      </w:pPr>
      <w:r>
        <w:rPr>
          <w:rFonts w:ascii="Consolas" w:hAnsi="Consolas" w:eastAsia="宋体"/>
          <w:sz w:val="18"/>
        </w:rPr>
        <w:t>ReceiverKeyGen(msk, r):</w:t>
      </w:r>
    </w:p>
    <w:p>
      <w:pPr>
        <w:spacing w:after="20" w:line="276" w:lineRule="auto"/>
        <w:ind w:firstLine="0" w:left="227"/>
      </w:pPr>
      <w:r>
        <w:rPr>
          <w:rFonts w:ascii="Consolas" w:hAnsi="Consolas" w:eastAsia="宋体"/>
          <w:sz w:val="18"/>
        </w:rPr>
        <w:t xml:space="preserve">  dkr ← HIBE.Extract(hmsk, r)</w:t>
      </w:r>
    </w:p>
    <w:p>
      <w:pPr>
        <w:spacing w:after="20" w:line="276" w:lineRule="auto"/>
        <w:ind w:firstLine="0" w:left="227"/>
      </w:pPr>
      <w:r>
        <w:rPr>
          <w:rFonts w:ascii="Consolas" w:hAnsi="Consolas" w:eastAsia="宋体"/>
          <w:sz w:val="18"/>
        </w:rPr>
        <w:t>Encrypt(mpk, sks, r, M):</w:t>
      </w:r>
    </w:p>
    <w:p>
      <w:pPr>
        <w:spacing w:after="20" w:line="276" w:lineRule="auto"/>
        <w:ind w:firstLine="0" w:left="227"/>
      </w:pPr>
      <w:r>
        <w:rPr>
          <w:rFonts w:ascii="Consolas" w:hAnsi="Consolas" w:eastAsia="宋体"/>
          <w:sz w:val="18"/>
        </w:rPr>
        <w:t xml:space="preserve">  σ ← IBS.Sign(sks, Enc(r, M))</w:t>
      </w:r>
    </w:p>
    <w:p>
      <w:pPr>
        <w:spacing w:after="20" w:line="276" w:lineRule="auto"/>
        <w:ind w:firstLine="0" w:left="227"/>
      </w:pPr>
      <w:r>
        <w:rPr>
          <w:rFonts w:ascii="Consolas" w:hAnsi="Consolas" w:eastAsia="宋体"/>
          <w:sz w:val="18"/>
        </w:rPr>
        <w:t xml:space="preserve">  P ← EncSignature(σ) || EncBytes(M)</w:t>
      </w:r>
    </w:p>
    <w:p>
      <w:pPr>
        <w:spacing w:after="20" w:line="276" w:lineRule="auto"/>
        <w:ind w:firstLine="0" w:left="227"/>
      </w:pPr>
      <w:r>
        <w:rPr>
          <w:rFonts w:ascii="Consolas" w:hAnsi="Consolas" w:eastAsia="宋体"/>
          <w:sz w:val="18"/>
        </w:rPr>
        <w:t xml:space="preserve">  C ← HIBE.Encrypt(hpk, r, s, P)</w:t>
      </w:r>
    </w:p>
    <w:p>
      <w:pPr>
        <w:spacing w:after="20" w:line="276" w:lineRule="auto"/>
        <w:ind w:firstLine="0" w:left="227"/>
      </w:pPr>
      <w:r>
        <w:rPr>
          <w:rFonts w:ascii="Consolas" w:hAnsi="Consolas" w:eastAsia="宋体"/>
          <w:sz w:val="18"/>
        </w:rPr>
        <w:t>Decrypt(mpk, dkr, s′, C):</w:t>
      </w:r>
    </w:p>
    <w:p>
      <w:pPr>
        <w:spacing w:after="20" w:line="276" w:lineRule="auto"/>
        <w:ind w:firstLine="0" w:left="227"/>
      </w:pPr>
      <w:r>
        <w:rPr>
          <w:rFonts w:ascii="Consolas" w:hAnsi="Consolas" w:eastAsia="宋体"/>
          <w:sz w:val="18"/>
        </w:rPr>
        <w:t xml:space="preserve">  dkr,s′ ← HIBE.Derive(dkr, s′)</w:t>
      </w:r>
    </w:p>
    <w:p>
      <w:pPr>
        <w:spacing w:after="20" w:line="276" w:lineRule="auto"/>
        <w:ind w:firstLine="0" w:left="227"/>
      </w:pPr>
      <w:r>
        <w:rPr>
          <w:rFonts w:ascii="Consolas" w:hAnsi="Consolas" w:eastAsia="宋体"/>
          <w:sz w:val="18"/>
        </w:rPr>
        <w:t xml:space="preserve">  P ← HIBE.Decrypt(dkr,s′, C)</w:t>
      </w:r>
    </w:p>
    <w:p>
      <w:pPr>
        <w:spacing w:after="20" w:line="276" w:lineRule="auto"/>
        <w:ind w:firstLine="0" w:left="227"/>
      </w:pPr>
      <w:r>
        <w:rPr>
          <w:rFonts w:ascii="Consolas" w:hAnsi="Consolas" w:eastAsia="宋体"/>
          <w:sz w:val="18"/>
        </w:rPr>
        <w:t xml:space="preserve">  若解密、解析或签名加载失败则返回 ⊥</w:t>
      </w:r>
    </w:p>
    <w:p>
      <w:pPr>
        <w:spacing w:after="20" w:line="276" w:lineRule="auto"/>
        <w:ind w:firstLine="0" w:left="227"/>
      </w:pPr>
      <w:r>
        <w:rPr>
          <w:rFonts w:ascii="Consolas" w:hAnsi="Consolas" w:eastAsia="宋体"/>
          <w:sz w:val="18"/>
        </w:rPr>
        <w:t xml:space="preserve">  从P解析(σ, M)</w:t>
      </w:r>
    </w:p>
    <w:p>
      <w:pPr>
        <w:spacing w:after="20" w:line="276" w:lineRule="auto"/>
        <w:ind w:firstLine="0" w:left="227"/>
      </w:pPr>
      <w:r>
        <w:rPr>
          <w:rFonts w:ascii="Consolas" w:hAnsi="Consolas" w:eastAsia="宋体"/>
          <w:sz w:val="18"/>
        </w:rPr>
        <w:t xml:space="preserve">  若 IBS.Verify(ipk, s′, Enc(r′, M), σ) 则返回M</w:t>
      </w:r>
    </w:p>
    <w:p>
      <w:pPr>
        <w:spacing w:after="20" w:line="276" w:lineRule="auto"/>
        <w:ind w:firstLine="0" w:left="227"/>
      </w:pPr>
      <w:r>
        <w:rPr>
          <w:rFonts w:ascii="Consolas" w:hAnsi="Consolas" w:eastAsia="宋体"/>
          <w:sz w:val="18"/>
        </w:rPr>
        <w:t xml:space="preserve">  否则返回 ⊥</w:t>
      </w:r>
    </w:p>
    <w:p>
      <w:r>
        <w:rPr>
          <w:b w:val="0"/>
        </w:rPr>
        <w:t>签名输入包含接收身份，因此已经签发给某个接收者的消息不能直接作为面向另一接收身份的有效签名使用。HIBE路径与签名身份共同参与双向匹配。公共协议仅调用原语接口，不读取内部矩阵、采样陷门或私有多项式。</w:t>
      </w:r>
    </w:p>
    <w:p>
      <w:pPr>
        <w:pStyle w:val="Heading2"/>
      </w:pPr>
      <w:r>
        <w:t>2.3 混合加密与完整字节认证</w:t>
      </w:r>
    </w:p>
    <w:p>
      <w:r>
        <w:rPr>
          <w:b w:val="0"/>
        </w:rPr>
        <w:t>基线中HIBE需要承载签名与应用消息，而某些实际HIBE接口只适合承载短消息。项目的 Hybrid 层使 HIBE 只加密32字节随机种子，用 HKDF-SHA256 派生 AES-256-GCM 密钥承载完整内部载荷。配置中同时保留种子长度、原始身份长度、内层身份编码长度和载荷上限，避免把32字节种子误写为只能发送32字节应用消息。当前展示配置的原始身份上限64字节，内层对应86字节。[E01–E04]</w:t>
      </w:r>
    </w:p>
    <w:p>
      <w:r>
        <w:rPr>
          <w:b w:val="0"/>
        </w:rPr>
        <w:t>BYTEAUTH层使用新生成的 Lamport 一次性签名密钥认证完整内部密文字节，并绑定公共上下文。一次性公钥的承诺被放入由IBS签名覆盖的内部消息中；解密后还要比较内部承诺与外层一次性公钥。这个内外绑定步骤用于防止攻击者仅替换外层一次性公钥并重新签名，就把已有内部密文包装成新的有效发送内容。</w:t>
      </w:r>
    </w:p>
    <w:p>
      <w:r>
        <w:rPr>
          <w:b w:val="0"/>
        </w:rPr>
        <w:t>完整解密依次检查规范格式、公共上下文和一次性签名，再调用内部IBME恢复，最后核对承诺并输出原始应用消息。不同层的认证职责不能相互替代：GCM检查混合载荷，IBS认证发送身份及接收目标，BYTEAUTH覆盖完整内部密文字节。它们也都不能由“测试全部通过”推导出新的CCA或QROM定理。</w:t>
      </w:r>
    </w:p>
    <w:p>
      <w:pPr>
        <w:keepNext/>
        <w:ind w:firstLine="0"/>
        <w:jc w:val="center"/>
      </w:pPr>
      <w:r>
        <w:drawing>
          <wp:inline xmlns:a="http://schemas.openxmlformats.org/drawingml/2006/main" xmlns:pic="http://schemas.openxmlformats.org/drawingml/2006/picture">
            <wp:extent cx="5760000" cy="2649600"/>
            <wp:docPr id="2" name="Picture 2"/>
            <wp:cNvGraphicFramePr>
              <a:graphicFrameLocks noChangeAspect="1"/>
            </wp:cNvGraphicFramePr>
            <a:graphic>
              <a:graphicData uri="http://schemas.openxmlformats.org/drawingml/2006/picture">
                <pic:pic>
                  <pic:nvPicPr>
                    <pic:cNvPr id="0" name="layers.png"/>
                    <pic:cNvPicPr/>
                  </pic:nvPicPr>
                  <pic:blipFill>
                    <a:blip r:embed="rId12"/>
                    <a:stretch>
                      <a:fillRect/>
                    </a:stretch>
                  </pic:blipFill>
                  <pic:spPr>
                    <a:xfrm>
                      <a:off x="0" y="0"/>
                      <a:ext cx="5760000" cy="2649600"/>
                    </a:xfrm>
                    <a:prstGeom prst="rect"/>
                  </pic:spPr>
                </pic:pic>
              </a:graphicData>
            </a:graphic>
          </wp:inline>
        </w:drawing>
      </w:r>
    </w:p>
    <w:p>
      <w:pPr>
        <w:pStyle w:val="Caption"/>
        <w:keepNext w:val="0"/>
        <w:jc w:val="center"/>
      </w:pPr>
      <w:r>
        <w:t>图2 加密封装与解密检查顺序</w:t>
      </w:r>
    </w:p>
    <w:p>
      <w:pPr>
        <w:pStyle w:val="Heading2"/>
      </w:pPr>
      <w:r>
        <w:t>2.4 理论引用与项目工作前提</w:t>
      </w:r>
    </w:p>
    <w:p>
      <w:r>
        <w:rPr>
          <w:b w:val="0"/>
        </w:rPr>
        <w:t>理论部分以固定版本原文为依据。Wang通用构造、CHKP、Luo及认证转换分别按相应文献引用；ML-DSA采用FIPS204中的算法版本，Falcon采用归档的v1.2规范与固定实现。[1–5,11–13] 引用底层标准只说明底层普通签名的来源，不意味着认证转换后的IBS或整个IBME获得相同标准认证。</w:t>
      </w:r>
    </w:p>
    <w:p>
      <w:r>
        <w:rPr>
          <w:b w:val="0"/>
        </w:rPr>
        <w:t>项目于2026年10月18日确认工程前提：按所选论文算法具备所需安全性、HIBE具有身份匿名性继续研发。原文已明确给出的性质作为引用，未明确给出的部分标明工作假设。例如本稿不把LATTE的普通机密性结论直接改写为已在本项目证明的身份匿名性。该区分用于说明设计依据，不另设基础证明工程作为实现前置任务。</w:t>
      </w:r>
    </w:p>
    <w:p>
      <w:r>
        <w:rPr>
          <w:b w:val="0"/>
        </w:rPr>
        <w:t>实际参数、采样与已知失败仍须如实报告。当前展示组合的安全元数据为 security_claim=none、backend_admitted=false、parameters_are_formal=false。它们表示项目没有为完整组合授予正式安全等级，不表示底层所有参数都只是教学小参数。相反，已知公开可伪造的具体调试配置不能凭工作假设进入安全比较主表。</w:t>
      </w:r>
    </w:p>
    <w:p>
      <w:pPr>
        <w:pStyle w:val="Heading1"/>
        <w:pageBreakBefore/>
      </w:pPr>
      <w:r>
        <w:t>第3章 多算法实例化与参数选择</w:t>
      </w:r>
    </w:p>
    <w:p>
      <w:pPr>
        <w:pStyle w:val="Heading2"/>
      </w:pPr>
      <w:r>
        <w:t>3.1 独立配置与筛选方法</w:t>
      </w:r>
    </w:p>
    <w:p>
      <w:r>
        <w:rPr>
          <w:b w:val="0"/>
        </w:rPr>
        <w:t>统一框架分别保存HIBE参数、IBS参数、签名编码、传输方式和状态策略。装配时先检查接口能力和输入容量，再决定是否允许运行。配置可被解析只代表配置格式合法；单体可运行、默认可选、已完成实际配对和取得重复性能收据是不同状态。</w:t>
      </w:r>
    </w:p>
    <w:p>
      <w:r>
        <w:rPr>
          <w:b w:val="0"/>
        </w:rPr>
        <w:t>候选选择同时考虑原文与实现版本能否对应、是否具有真实采样与签验链、输入容量能否容纳封装后的签名消息、是否支持规范保存和恢复，以及本机可承担的时间和内存。某个算法的高维目标难以运行时，仍保留其资源研究价值，但不能用小维度实验补足目标运行数量。</w:t>
      </w:r>
    </w:p>
    <w:p>
      <w:r>
        <w:rPr>
          <w:b w:val="0"/>
        </w:rPr>
        <w:t>截至基点，8条HIBE路线中3条、11条IBS路线中10条具有独立完整研究后端。默认框架登记6种IBS；Foo–Li、Yu2026及Sageloli两条路线虽有完整单体实现，尚未完成默认入口与真实HIBE组合。SRGG存在已配对的默认小参数实现和独立论文参数实现，两者不能共享实际接入结论。附录A逐项列出19条路线。</w:t>
      </w:r>
    </w:p>
    <w:p>
      <w:pPr>
        <w:pStyle w:val="Heading2"/>
      </w:pPr>
      <w:r>
        <w:t>3.2 当前三组完整展示配置</w:t>
      </w:r>
    </w:p>
    <w:p>
      <w:r>
        <w:rPr>
          <w:b w:val="0"/>
        </w:rPr>
        <w:t>本文使用的三组基线共享LATTE-3/COSAC-FIX HIBE、Hybrid、BYTEAUTH和单写者状态策略，变化部分是IBS。LATTE参数为N=1024、q=68718428161、seed32模式；实际配置最多2个接收父身份、每父2个发送子身份，内部身份上限86字节。此容量是当前配置限制，不能把它写成无限用户系统。[E01–E04]</w:t>
      </w:r>
    </w:p>
    <w:p>
      <w:pPr>
        <w:pStyle w:val="Caption"/>
        <w:keepNext/>
        <w:jc w:val="center"/>
      </w:pPr>
      <w:r>
        <w:t>表2 展示配置与用途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984"/>
        <w:gridCol w:w="1984"/>
        <w:gridCol w:w="2041"/>
      </w:tblGrid>
      <w:tr>
        <w:trPr>
          <w:cantSplit/>
          <w:tblHeader/>
        </w:trPr>
        <w:tc>
          <w:tcPr>
            <w:tcW w:type="dxa" w:w="3061"/>
            <w:vAlign w:val="center"/>
            <w:tcMar>
              <w:top w:w="60" w:type="dxa"/>
              <w:bottom w:w="60" w:type="dxa"/>
              <w:left w:w="95" w:type="dxa"/>
              <w:right w:w="95" w:type="dxa"/>
            </w:tcMar>
            <w:shd w:fill="E9EDF0"/>
          </w:tcPr>
          <w:p>
            <w:pPr>
              <w:keepNext/>
              <w:spacing w:line="283" w:lineRule="auto" w:after="0"/>
              <w:ind w:firstLine="0"/>
              <w:jc w:val="center"/>
            </w:pPr>
            <w:r>
              <w:rPr>
                <w:b/>
                <w:sz w:val="18"/>
              </w:rPr>
              <w:t>配置简称</w:t>
            </w:r>
          </w:p>
        </w:tc>
        <w:tc>
          <w:tcPr>
            <w:tcW w:type="dxa" w:w="1984"/>
            <w:vAlign w:val="center"/>
            <w:tcMar>
              <w:top w:w="60" w:type="dxa"/>
              <w:bottom w:w="60" w:type="dxa"/>
              <w:left w:w="95" w:type="dxa"/>
              <w:right w:w="95" w:type="dxa"/>
            </w:tcMar>
            <w:shd w:fill="E9EDF0"/>
          </w:tcPr>
          <w:p>
            <w:pPr>
              <w:keepNext/>
              <w:spacing w:line="283" w:lineRule="auto" w:after="0"/>
              <w:ind w:firstLine="0"/>
              <w:jc w:val="center"/>
            </w:pPr>
            <w:r>
              <w:rPr>
                <w:b/>
                <w:sz w:val="18"/>
              </w:rPr>
              <w:t>IBS与编码</w:t>
            </w:r>
          </w:p>
        </w:tc>
        <w:tc>
          <w:tcPr>
            <w:tcW w:type="dxa" w:w="1984"/>
            <w:vAlign w:val="center"/>
            <w:tcMar>
              <w:top w:w="60" w:type="dxa"/>
              <w:bottom w:w="60" w:type="dxa"/>
              <w:left w:w="95" w:type="dxa"/>
              <w:right w:w="95" w:type="dxa"/>
            </w:tcMar>
            <w:shd w:fill="E9EDF0"/>
          </w:tcPr>
          <w:p>
            <w:pPr>
              <w:keepNext/>
              <w:spacing w:line="283" w:lineRule="auto" w:after="0"/>
              <w:ind w:firstLine="0"/>
              <w:jc w:val="center"/>
            </w:pPr>
            <w:r>
              <w:rPr>
                <w:b/>
                <w:sz w:val="18"/>
              </w:rPr>
              <w:t>主要用途</w:t>
            </w:r>
          </w:p>
        </w:tc>
        <w:tc>
          <w:tcPr>
            <w:tcW w:type="dxa" w:w="2041"/>
            <w:vAlign w:val="center"/>
            <w:tcMar>
              <w:top w:w="60" w:type="dxa"/>
              <w:bottom w:w="60" w:type="dxa"/>
              <w:left w:w="95" w:type="dxa"/>
              <w:right w:w="95" w:type="dxa"/>
            </w:tcMar>
            <w:shd w:fill="E9EDF0"/>
          </w:tcPr>
          <w:p>
            <w:pPr>
              <w:keepNext/>
              <w:spacing w:line="283" w:lineRule="auto" w:after="0"/>
              <w:ind w:firstLine="0"/>
              <w:jc w:val="center"/>
            </w:pPr>
            <w:r>
              <w:rPr>
                <w:b/>
                <w:sz w:val="18"/>
              </w:rPr>
              <w:t>当前边界</w:t>
            </w:r>
          </w:p>
        </w:tc>
      </w:tr>
      <w:tr>
        <w:trPr>
          <w:cantSplit/>
        </w:trPr>
        <w:tc>
          <w:tcPr>
            <w:tcW w:type="dxa" w:w="3061"/>
            <w:vAlign w:val="center"/>
            <w:tcMar>
              <w:top w:w="60" w:type="dxa"/>
              <w:bottom w:w="60" w:type="dxa"/>
              <w:left w:w="95" w:type="dxa"/>
              <w:right w:w="95" w:type="dxa"/>
            </w:tcMar>
            <w:shd w:fill="FFFFFF"/>
          </w:tcPr>
          <w:p>
            <w:pPr>
              <w:keepNext/>
              <w:spacing w:line="283" w:lineRule="auto" w:after="0"/>
              <w:ind w:firstLine="0"/>
            </w:pPr>
            <w:r>
              <w:rPr>
                <w:b w:val="0"/>
                <w:sz w:val="18"/>
              </w:rPr>
              <w:t>MLDSA</w:t>
            </w:r>
          </w:p>
        </w:tc>
        <w:tc>
          <w:tcPr>
            <w:tcW w:type="dxa" w:w="1984"/>
            <w:vAlign w:val="center"/>
            <w:tcMar>
              <w:top w:w="60" w:type="dxa"/>
              <w:bottom w:w="60" w:type="dxa"/>
              <w:left w:w="95" w:type="dxa"/>
              <w:right w:w="95" w:type="dxa"/>
            </w:tcMar>
            <w:shd w:fill="FFFFFF"/>
          </w:tcPr>
          <w:p>
            <w:pPr>
              <w:keepNext/>
              <w:spacing w:line="283" w:lineRule="auto" w:after="0"/>
              <w:ind w:firstLine="0"/>
            </w:pPr>
            <w:r>
              <w:rPr>
                <w:b w:val="0"/>
                <w:sz w:val="18"/>
              </w:rPr>
              <w:t>BNN认证转换加ML-DSA-44 reference</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当前主演示底座候选，便于对应底层标准与向量</w:t>
            </w:r>
          </w:p>
        </w:tc>
        <w:tc>
          <w:tcPr>
            <w:tcW w:type="dxa" w:w="2041"/>
            <w:vAlign w:val="center"/>
            <w:tcMar>
              <w:top w:w="60" w:type="dxa"/>
              <w:bottom w:w="60" w:type="dxa"/>
              <w:left w:w="95" w:type="dxa"/>
              <w:right w:w="95" w:type="dxa"/>
            </w:tcMar>
            <w:shd w:fill="FFFFFF"/>
          </w:tcPr>
          <w:p>
            <w:pPr>
              <w:keepNext/>
              <w:spacing w:line="283" w:lineRule="auto" w:after="0"/>
              <w:ind w:firstLine="0"/>
              <w:jc w:val="center"/>
            </w:pPr>
            <w:r>
              <w:rPr>
                <w:b w:val="0"/>
                <w:sz w:val="18"/>
              </w:rPr>
              <w:t>完整组合仍为研究配置</w:t>
            </w:r>
          </w:p>
        </w:tc>
      </w:tr>
      <w:tr>
        <w:trPr>
          <w:cantSplit/>
        </w:trPr>
        <w:tc>
          <w:tcPr>
            <w:tcW w:type="dxa" w:w="3061"/>
            <w:vAlign w:val="center"/>
            <w:tcMar>
              <w:top w:w="60" w:type="dxa"/>
              <w:bottom w:w="60" w:type="dxa"/>
              <w:left w:w="95" w:type="dxa"/>
              <w:right w:w="95" w:type="dxa"/>
            </w:tcMar>
            <w:shd w:fill="FFFFFF"/>
          </w:tcPr>
          <w:p>
            <w:pPr>
              <w:keepNext/>
              <w:spacing w:line="283" w:lineRule="auto" w:after="0"/>
              <w:ind w:firstLine="0"/>
            </w:pPr>
            <w:r>
              <w:rPr>
                <w:b w:val="0"/>
                <w:sz w:val="18"/>
              </w:rPr>
              <w:t>Falcon</w:t>
            </w:r>
          </w:p>
        </w:tc>
        <w:tc>
          <w:tcPr>
            <w:tcW w:type="dxa" w:w="1984"/>
            <w:vAlign w:val="center"/>
            <w:tcMar>
              <w:top w:w="60" w:type="dxa"/>
              <w:bottom w:w="60" w:type="dxa"/>
              <w:left w:w="95" w:type="dxa"/>
              <w:right w:w="95" w:type="dxa"/>
            </w:tcMar>
            <w:shd w:fill="FFFFFF"/>
          </w:tcPr>
          <w:p>
            <w:pPr>
              <w:keepNext/>
              <w:spacing w:line="283" w:lineRule="auto" w:after="0"/>
              <w:ind w:firstLine="0"/>
            </w:pPr>
            <w:r>
              <w:rPr>
                <w:b w:val="0"/>
                <w:sz w:val="18"/>
              </w:rPr>
              <w:t>BNN认证转换加Falcon-padded-512 reference</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紧凑性工程对照</w:t>
            </w:r>
          </w:p>
        </w:tc>
        <w:tc>
          <w:tcPr>
            <w:tcW w:type="dxa" w:w="2041"/>
            <w:vAlign w:val="center"/>
            <w:tcMar>
              <w:top w:w="60" w:type="dxa"/>
              <w:bottom w:w="60" w:type="dxa"/>
              <w:left w:w="95" w:type="dxa"/>
              <w:right w:w="95" w:type="dxa"/>
            </w:tcMar>
            <w:shd w:fill="FFFFFF"/>
          </w:tcPr>
          <w:p>
            <w:pPr>
              <w:keepNext/>
              <w:spacing w:line="283" w:lineRule="auto" w:after="0"/>
              <w:ind w:firstLine="0"/>
              <w:jc w:val="center"/>
            </w:pPr>
            <w:r>
              <w:rPr>
                <w:b w:val="0"/>
                <w:sz w:val="18"/>
              </w:rPr>
              <w:t>不是FN-DSA或FIPS206实现声明</w:t>
            </w:r>
          </w:p>
        </w:tc>
      </w:tr>
      <w:tr>
        <w:trPr>
          <w:cantSplit/>
        </w:trPr>
        <w:tc>
          <w:tcPr>
            <w:tcW w:type="dxa" w:w="3061"/>
            <w:vAlign w:val="center"/>
            <w:tcMar>
              <w:top w:w="60" w:type="dxa"/>
              <w:bottom w:w="60" w:type="dxa"/>
              <w:left w:w="95" w:type="dxa"/>
              <w:right w:w="95" w:type="dxa"/>
            </w:tcMar>
            <w:shd w:fill="FFFFFF"/>
          </w:tcPr>
          <w:p>
            <w:pPr>
              <w:keepNext w:val="0"/>
              <w:spacing w:line="283" w:lineRule="auto" w:after="0"/>
              <w:ind w:firstLine="0"/>
            </w:pPr>
            <w:r>
              <w:rPr>
                <w:b w:val="0"/>
                <w:sz w:val="18"/>
              </w:rPr>
              <w:t>Luo</w:t>
            </w:r>
          </w:p>
        </w:tc>
        <w:tc>
          <w:tcPr>
            <w:tcW w:type="dxa" w:w="1984"/>
            <w:vAlign w:val="center"/>
            <w:tcMar>
              <w:top w:w="60" w:type="dxa"/>
              <w:bottom w:w="60" w:type="dxa"/>
              <w:left w:w="95" w:type="dxa"/>
              <w:right w:w="95" w:type="dxa"/>
            </w:tcMar>
            <w:shd w:fill="FFFFFF"/>
          </w:tcPr>
          <w:p>
            <w:pPr>
              <w:keepNext w:val="0"/>
              <w:spacing w:line="283" w:lineRule="auto" w:after="0"/>
              <w:ind w:firstLine="0"/>
              <w:jc w:val="center"/>
            </w:pPr>
            <w:r>
              <w:rPr>
                <w:b w:val="0"/>
                <w:sz w:val="18"/>
              </w:rPr>
              <w:t>原生Luo模格IBS compact</w:t>
            </w:r>
          </w:p>
        </w:tc>
        <w:tc>
          <w:tcPr>
            <w:tcW w:type="dxa" w:w="1984"/>
            <w:vAlign w:val="center"/>
            <w:tcMar>
              <w:top w:w="60" w:type="dxa"/>
              <w:bottom w:w="60" w:type="dxa"/>
              <w:left w:w="95" w:type="dxa"/>
              <w:right w:w="95" w:type="dxa"/>
            </w:tcMar>
            <w:shd w:fill="FFFFFF"/>
          </w:tcPr>
          <w:p>
            <w:pPr>
              <w:keepNext w:val="0"/>
              <w:spacing w:line="283" w:lineRule="auto" w:after="0"/>
              <w:ind w:firstLine="0"/>
              <w:jc w:val="center"/>
            </w:pPr>
            <w:r>
              <w:rPr>
                <w:b w:val="0"/>
                <w:sz w:val="18"/>
              </w:rPr>
              <w:t>原生IBS与认证转换的结构对照</w:t>
            </w:r>
          </w:p>
        </w:tc>
        <w:tc>
          <w:tcPr>
            <w:tcW w:type="dxa" w:w="2041"/>
            <w:vAlign w:val="center"/>
            <w:tcMar>
              <w:top w:w="60" w:type="dxa"/>
              <w:bottom w:w="60" w:type="dxa"/>
              <w:left w:w="95" w:type="dxa"/>
              <w:right w:w="95" w:type="dxa"/>
            </w:tcMar>
            <w:shd w:fill="FFFFFF"/>
          </w:tcPr>
          <w:p>
            <w:pPr>
              <w:keepNext w:val="0"/>
              <w:spacing w:line="283" w:lineRule="auto" w:after="0"/>
              <w:ind w:firstLine="0"/>
              <w:jc w:val="center"/>
            </w:pPr>
            <w:r>
              <w:rPr>
                <w:b w:val="0"/>
                <w:sz w:val="18"/>
              </w:rPr>
              <w:t>与前两组安全目标未统一</w:t>
            </w:r>
          </w:p>
        </w:tc>
      </w:tr>
    </w:tbl>
    <w:p>
      <w:pPr>
        <w:spacing w:after="40" w:line="96" w:lineRule="auto"/>
      </w:pPr>
    </w:p>
    <w:p>
      <w:r>
        <w:rPr>
          <w:b w:val="0"/>
        </w:rPr>
        <w:t>MLDSA与Falcon配置分别允许64字节身份、最多16个IBS身份、65536字节IBS消息输入。该输入上限须与Hybrid及协议额外字段共同检查，不能直接当作应用消息最大长度。认证转换中的完整签名包含用户公钥、机构证书与消息签名，不能只引用底层普通签名大小。[11–13]</w:t>
      </w:r>
    </w:p>
    <w:p>
      <w:r>
        <w:rPr>
          <w:b w:val="0"/>
        </w:rPr>
        <w:t>Luo默认模格研究配置采用N=256、k=11、l=10、q=274877844481、η=1、κ=64、γ1=125440、γ2=31470387200、γ3=15270991360、dropped_bits=28。Extract与Sign重试上限各1024，IBS消息输入上限4096字节。参数来源、实际Suite及完整字段保存在附录B对应的机器可读证据中。[5,E04]</w:t>
      </w:r>
    </w:p>
    <w:p>
      <w:r>
        <w:rPr>
          <w:b w:val="0"/>
        </w:rPr>
        <w:t>三组可用于比较系统组件的具体工程代价。由于安全目标尚未统一，本稿不按时间排序选出“最安全且最快”的方案，也不将共用一个HIBE的三组配置描述成已经满足多类HIBE最终代表要求。</w:t>
      </w:r>
    </w:p>
    <w:p>
      <w:pPr>
        <w:pStyle w:val="Heading2"/>
      </w:pPr>
      <w:r>
        <w:t>3.3 原生IBS的已完成范围</w:t>
      </w:r>
    </w:p>
    <w:p>
      <w:r>
        <w:rPr>
          <w:b w:val="0"/>
        </w:rPr>
        <w:t>Luo矩阵版与模格版均有研究实现。模格版是当前Luo工程主线，已完成规范对象、签名编码、固定身份服务及真实组合。显式C64B变体调整γ1、γ2、γ3与重试上限，已有LATTE完整基准；它仍是同一种IBS的参数变体，不新增算法数量。其应用消息容量上限3924字节与IBS输入4096字节分开记录。[E05]</w:t>
      </w:r>
    </w:p>
    <w:p>
      <w:r>
        <w:rPr>
          <w:b w:val="0"/>
        </w:rPr>
        <w:t>Wang基本IBS加Pan–Wagner转换已经具有真实MP12采样、身份盐和消息盐、完整签验以及保存恢复链，默认入口已有LATTE实际配对记录。[1,7,E06] 当前已配对的q17调试配置具有公开伪造问题，不能作为安全主展示参数。完整实现与安全参数可用是两项独立结论。</w:t>
      </w:r>
    </w:p>
    <w:p>
      <w:r>
        <w:rPr>
          <w:b w:val="0"/>
        </w:rPr>
        <w:t>SRGG已经形成完整研究IBS及论文参数三档独立运行。其工作包括相关扰动采样、Schur部分处理、原像生成、挑战与完整签验。最新compact编码不改变原签名对象，可对公钥、主秘密、身份密钥与签名进行无损存储压缩。独立论文参数路线尚未登记默认入口，也没有继承默认小参数路线的HIBE配对结果。[6,E07]</w:t>
      </w:r>
    </w:p>
    <w:p>
      <w:r>
        <w:rPr>
          <w:b w:val="0"/>
        </w:rPr>
        <w:t>Foo–Li、Yu2026与Sageloli-SIS、Sageloli-RSIS已有完整单体研究后端。其中Sageloli实现覆盖H1/H2、盐、矩阵或环上的采样与签验、固定发钥及恢复。Yu当前实现的消息容量仅1至4字节，无法容纳公共构造实际签名输入，预检应拒绝该组合。Xie-NTRU路线已有修订研究核，但还不是共同IBSBackend。本文不把组件、数学探针或取得的通用NTRU工具计算为完整IBS。[8–10,E08]</w:t>
      </w:r>
    </w:p>
    <w:p>
      <w:pPr>
        <w:pStyle w:val="Heading2"/>
      </w:pPr>
      <w:r>
        <w:t>3.4 HIBE资源研究与目标规模</w:t>
      </w:r>
    </w:p>
    <w:p>
      <w:r>
        <w:rPr>
          <w:b w:val="0"/>
        </w:rPr>
        <w:t>CHKP研究实现需要明确原稿版本。项目现有3m叶布局与出版版2m比较对象不同，不能把两种布局的参数与定理混用。高基数MP12结构化种子KEM组件已完成根、父、256个叶和32字节种子路径，但目前不是公共HIBEBackend，也未接入Hybrid、CLI或完整IBME。[2,14,E09]</w:t>
      </w:r>
    </w:p>
    <w:p>
      <w:r>
        <w:rPr>
          <w:b w:val="0"/>
        </w:rPr>
        <w:t>已有n=2、4、8且q约93比特的有界运行，用于验证算术、委派、编码和恢复。n=8的父生成约4.15秒、256叶约44.78秒、观测RSS约225MiB。目标n=4096未生成密钥；资源投影中的父陷门约9GiB、探测载荷约19.197GiB均为模型估算，不是测量结果。更大机器或不同表示可能改变可部署性，因此不能从当前环境限制推出算法普遍不可行。</w:t>
      </w:r>
    </w:p>
    <w:p>
      <w:r>
        <w:rPr>
          <w:b w:val="0"/>
        </w:rPr>
        <w:t>ABB最新紧边界候选n=8224、模数约180比特、噪声参数721，公开模型给出的完整基表示字节下界为473331337067574字节，32字节原始密文为52296768512字节。该批只做公开算术与成本比较，尚无目标密钥和完整运行。估计器中根SIS没有有限估计值，含义为该模型未给出有限成本，不能写作“无限安全”。[3,E10]</w:t>
      </w:r>
    </w:p>
    <w:p>
      <w:r>
        <w:rPr>
          <w:b w:val="0"/>
        </w:rPr>
        <w:t>这些研究说明参数选择与表示成本会直接影响完整组合。它们可以支持后续方案选择，却不能把目标规模候选写成已经实现、运行或已被淘汰的最终方案。</w:t>
      </w:r>
    </w:p>
    <w:p>
      <w:pPr>
        <w:pStyle w:val="Heading1"/>
        <w:pageBreakBefore/>
      </w:pPr>
      <w:r>
        <w:t>第4章 系统实现与关键技术</w:t>
      </w:r>
    </w:p>
    <w:p>
      <w:pPr>
        <w:pStyle w:val="Heading2"/>
      </w:pPr>
      <w:r>
        <w:t>4.1 分层架构与公共契约</w:t>
      </w:r>
    </w:p>
    <w:p>
      <w:r>
        <w:rPr>
          <w:b w:val="0"/>
        </w:rPr>
        <w:t>系统由原语层、协议装配层、状态与传输层、应用入口和评测工具组成。HIBE后端负责建立、父密钥提取、向下委派、加密、解密和对象加载；IBS后端负责建立、身份密钥提取、签名、验证和签名加载。规范对象提供序列化与明确的上下文检查。协议层通过这些契约组合原语，不依赖某一种内部矩阵维度。</w:t>
      </w:r>
    </w:p>
    <w:p>
      <w:pPr>
        <w:keepNext/>
        <w:ind w:firstLine="0"/>
        <w:jc w:val="center"/>
      </w:pPr>
      <w:r>
        <w:drawing>
          <wp:inline xmlns:a="http://schemas.openxmlformats.org/drawingml/2006/main" xmlns:pic="http://schemas.openxmlformats.org/drawingml/2006/picture">
            <wp:extent cx="5760000" cy="2918400"/>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760000" cy="2918400"/>
                    </a:xfrm>
                    <a:prstGeom prst="rect"/>
                  </pic:spPr>
                </pic:pic>
              </a:graphicData>
            </a:graphic>
          </wp:inline>
        </w:drawing>
      </w:r>
    </w:p>
    <w:p>
      <w:pPr>
        <w:pStyle w:val="Caption"/>
        <w:keepNext w:val="0"/>
        <w:jc w:val="center"/>
      </w:pPr>
      <w:r>
        <w:t>图3 软件模块与配置数据流</w:t>
      </w:r>
    </w:p>
    <w:p>
      <w:r>
        <w:rPr>
          <w:b w:val="0"/>
        </w:rPr>
        <w:t>公共Suite绑定算法版本、两组原语参数、签名格式、包装及状态策略。相同的算法名称但不同参数、编码或上下文不能静默混用。装配预检还要计入身份编码和BYTEAUTH内部承诺产生的额外字节，发现容量不足时在发起长计算前明确拒绝。</w:t>
      </w:r>
    </w:p>
    <w:p>
      <w:r>
        <w:rPr>
          <w:b w:val="0"/>
        </w:rPr>
        <w:t>源码中的研究后端不会因为实现了接口就自动出现在网页预设中。网页只公开已经验收的三组配置；其余原语保留CLI、测试或研究入口。此设计使用户看见的选项与实际可运行证据保持对应。</w:t>
      </w:r>
    </w:p>
    <w:p>
      <w:pPr>
        <w:pStyle w:val="Heading2"/>
      </w:pPr>
      <w:r>
        <w:t>4.2 规范编码与错误处理</w:t>
      </w:r>
    </w:p>
    <w:p>
      <w:r>
        <w:rPr>
          <w:b w:val="0"/>
        </w:rPr>
        <w:t>身份、消息和签名使用域分隔及长度前缀编码。解码器验证对象种类、版本、字段数量、尺寸上限和规范表示，并拒绝截断、追加及重复字段。模q系数、向量维度和环参数由对应后端检查，不能仅凭能够反序列化便进入密码运算。</w:t>
      </w:r>
    </w:p>
    <w:p>
      <w:r>
        <w:rPr>
          <w:b w:val="0"/>
        </w:rPr>
        <w:t>密码学拒绝使用专用BOTTOM值，不能把Python的None、任意空对象或后端异常当成同一结果。验收中，合法解密必须逐字节等于原消息；负向场景必须得到预期拒绝。执行失败单独报告。这样的判定避免“程序没有得到明文”被误记成安全机制正确工作。</w:t>
      </w:r>
    </w:p>
    <w:p>
      <w:r>
        <w:rPr>
          <w:b w:val="0"/>
        </w:rPr>
        <w:t>字节认证测试针对实际完整wire执行。测试范围包含单字节修改、签名修改、截断、追加和重复字段。底层CPA解密对某些扰动的容错与外层严格字节认证承担不同职责，不能要求原始CPA算法单独提供本不具备的完整字节唯一性。</w:t>
      </w:r>
    </w:p>
    <w:p>
      <w:pPr>
        <w:pStyle w:val="Heading2"/>
      </w:pPr>
      <w:r>
        <w:t>4.3 固定发钥缓存与持久恢复</w:t>
      </w:r>
    </w:p>
    <w:p>
      <w:r>
        <w:rPr>
          <w:b w:val="0"/>
        </w:rPr>
        <w:t>系统按身份维护已发放密钥与必要委派状态。相同身份的再次请求使用同一服务语义，不能在恢复时重新抽取密钥以掩盖丢失。状态更新采用单写者、提交后发布的策略，失败或未完成操作不能伪装成已发放状态。某些论文实验中的每次重新提取与本项目长期服务语义存在区别，相关适配保留在原语说明中。</w:t>
      </w:r>
    </w:p>
    <w:p>
      <w:r>
        <w:rPr>
          <w:b w:val="0"/>
        </w:rPr>
        <w:t>持久化内容按公开状态、主秘密、发送状态和接收状态分开核对。新进程加载阶段在零熵条件下复原已有对象，以检查加载没有重新执行Setup、发钥或秘密采样。后续新加密和新签名仍使用新CSPRNG；“零熵恢复”不意味着正常密码操作不需要随机数。</w:t>
      </w:r>
    </w:p>
    <w:p>
      <w:r>
        <w:rPr>
          <w:b w:val="0"/>
        </w:rPr>
        <w:t>运行秘密、主私钥及原始私有状态不进入公开Git材料。公开实验只保留参数、时间、尺寸、公开钥指纹、源码指纹和检查收据。compact编码只压缩表示，不加密秘密快照，因此不能把密钥文件变小解释为密钥已经获得存储保密保护。</w:t>
      </w:r>
    </w:p>
    <w:p>
      <w:pPr>
        <w:pStyle w:val="Heading2"/>
      </w:pPr>
      <w:r>
        <w:t>4.4 原语实现与编码优化</w:t>
      </w:r>
    </w:p>
    <w:p>
      <w:r>
        <w:rPr>
          <w:b w:val="0"/>
        </w:rPr>
        <w:t>原语实现保持论文步骤与工程修订可区分。例如Wang–PW把基本IBS与转换链分别实现，不能只加两个随机盐就称转换完成；Sageloli保留矩阵与环路线各自的采样对象；SRGG在独立路线中明确高斯参数解释，不将实现选择表述为作者已经发布勘误。[6–10]</w:t>
      </w:r>
    </w:p>
    <w:p>
      <w:r>
        <w:rPr>
          <w:b w:val="0"/>
        </w:rPr>
        <w:t>SRGG最新编码根据系数范围采用24比特公系数、2比特CBD1陷门分量、整数Zigzag及1比特挑战表示，解码后重建原对象。压缩前后应保持公钥、签名、验证方程和上下文一致，编码与恢复阶段不额外抽取随机数。它解决的是公开传输与落盘表示冗余，完整操作可能因编码开销变慢，RSS也不会按文件压缩比例下降。[E07]</w:t>
      </w:r>
    </w:p>
    <w:p>
      <w:r>
        <w:rPr>
          <w:b w:val="0"/>
        </w:rPr>
        <w:t>高基数陷门工具则研究大模数下gadget位数与委派表示的代价。该工具及种子KEM组件的效果在自身实验范围内描述，未接入完整系统前，不给出IBME加速结论。</w:t>
      </w:r>
    </w:p>
    <w:p>
      <w:pPr>
        <w:pStyle w:val="Heading2"/>
      </w:pPr>
      <w:r>
        <w:t>4.5 原生依赖核对与部署优化</w:t>
      </w:r>
    </w:p>
    <w:p>
      <w:r>
        <w:rPr>
          <w:b w:val="0"/>
        </w:rPr>
        <w:t>LATTE及认证型签名适配器调用原生程序，运行前核对固定源码、ABI与二进制。剖析发现Windows挂载目录上的频繁读取与哈希占据明显时间。本项目保持这些校验，构建按wheel内容SHA定位的WSL运行副本，使已打包内容从WSL文件系统读取。[E11]</w:t>
      </w:r>
    </w:p>
    <w:p>
      <w:r>
        <w:rPr>
          <w:b w:val="0"/>
        </w:rPr>
        <w:t>运行副本在安装及复用时核对内容文件和元数据，检查包成员路径与额外Python提供者。原生程序仍使用同一构建，不复制运行私钥或修改全局Python环境。仓库代码更新后需要重新构建并指定新wheel，已有副本不会自动切换。安装、导入和恢复开销独立于热操作计时，不能把这些启动成本隐去后宣称所有场景都获得同样收益。</w:t>
      </w:r>
    </w:p>
    <w:p>
      <w:pPr>
        <w:pStyle w:val="Heading1"/>
        <w:pageBreakBefore/>
      </w:pPr>
      <w:r>
        <w:t>第5章 实验设计结果与分析</w:t>
      </w:r>
    </w:p>
    <w:p>
      <w:pPr>
        <w:pStyle w:val="Heading2"/>
      </w:pPr>
      <w:r>
        <w:t>5.1 数据来源与实验问题</w:t>
      </w:r>
    </w:p>
    <w:p>
      <w:r>
        <w:rPr>
          <w:b w:val="0"/>
        </w:rPr>
        <w:t>本章整理仓库已经归档的实验，不为撰稿重新生成密钥，也不把本次文档生成计为新的密码学试验。每张表对应固定公开JSON与源码版本。实验回答四个问题：完整协议是否正确处理匹配与拒绝；首次、热运行和恢复的成本分别是多少；不同IBS对完整时间与尺寸有何影响；部署位置改动能否在相同密码工作下减少完整操作耗时。</w:t>
      </w:r>
    </w:p>
    <w:p>
      <w:r>
        <w:rPr>
          <w:b w:val="0"/>
        </w:rPr>
        <w:t>三组完整基线使用Intel Core Ultra9 275HX、WSL2、Sage10.9、Python3.13.14，OMP线程数4、OpenBLAS线程数1。双方原始身份各64字节、内部各86字节，应用消息32字节，HIBE种子32字节。每组3套独立CSPRNG系统状态，每套3对热运行，共9对；再由3个新进程完成共9次恢复后解密。[E01–E04]</w:t>
      </w:r>
    </w:p>
    <w:p>
      <w:r>
        <w:rPr>
          <w:b w:val="0"/>
        </w:rPr>
        <w:t>冷状态指新的Python进程，保留操作系统页缓存和已构建原生程序，不是断电或清空所有缓存后的启动。热运行复用各自状态，不把9次观察当成9套独立密钥。首次解密包含目标叶生成，后续热解密复用已有叶状态。10毫秒进程树RSS是观测统计，可能漏掉短峰或重复计共享页；本稿不把它当成精确物理峰值或置信区间。</w:t>
      </w:r>
    </w:p>
    <w:p>
      <w:pPr>
        <w:pStyle w:val="Heading2"/>
      </w:pPr>
      <w:r>
        <w:t>5.2 功能拒绝与恢复</w:t>
      </w:r>
    </w:p>
    <w:p>
      <w:pPr>
        <w:pStyle w:val="Caption"/>
        <w:keepNext/>
        <w:jc w:val="center"/>
      </w:pPr>
      <w:r>
        <w:t>表3 完整系统功能证据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231"/>
        <w:gridCol w:w="3572"/>
      </w:tblGrid>
      <w:tr>
        <w:trPr>
          <w:cantSplit/>
          <w:tblHeader/>
        </w:trPr>
        <w:tc>
          <w:tcPr>
            <w:tcW w:type="dxa" w:w="2268"/>
            <w:vAlign w:val="center"/>
            <w:tcMar>
              <w:top w:w="60" w:type="dxa"/>
              <w:bottom w:w="60" w:type="dxa"/>
              <w:left w:w="95" w:type="dxa"/>
              <w:right w:w="95" w:type="dxa"/>
            </w:tcMar>
            <w:shd w:fill="E9EDF0"/>
          </w:tcPr>
          <w:p>
            <w:pPr>
              <w:keepNext/>
              <w:spacing w:line="283" w:lineRule="auto" w:after="0"/>
              <w:ind w:firstLine="0"/>
              <w:jc w:val="center"/>
            </w:pPr>
            <w:r>
              <w:rPr>
                <w:b/>
                <w:sz w:val="18"/>
              </w:rPr>
              <w:t>场景</w:t>
            </w:r>
          </w:p>
        </w:tc>
        <w:tc>
          <w:tcPr>
            <w:tcW w:type="dxa" w:w="3231"/>
            <w:vAlign w:val="center"/>
            <w:tcMar>
              <w:top w:w="60" w:type="dxa"/>
              <w:bottom w:w="60" w:type="dxa"/>
              <w:left w:w="95" w:type="dxa"/>
              <w:right w:w="95" w:type="dxa"/>
            </w:tcMar>
            <w:shd w:fill="E9EDF0"/>
          </w:tcPr>
          <w:p>
            <w:pPr>
              <w:keepNext/>
              <w:spacing w:line="283" w:lineRule="auto" w:after="0"/>
              <w:ind w:firstLine="0"/>
              <w:jc w:val="center"/>
            </w:pPr>
            <w:r>
              <w:rPr>
                <w:b/>
                <w:sz w:val="18"/>
              </w:rPr>
              <w:t>期望结果</w:t>
            </w:r>
          </w:p>
        </w:tc>
        <w:tc>
          <w:tcPr>
            <w:tcW w:type="dxa" w:w="3572"/>
            <w:vAlign w:val="center"/>
            <w:tcMar>
              <w:top w:w="60" w:type="dxa"/>
              <w:bottom w:w="60" w:type="dxa"/>
              <w:left w:w="95" w:type="dxa"/>
              <w:right w:w="95" w:type="dxa"/>
            </w:tcMar>
            <w:shd w:fill="E9EDF0"/>
          </w:tcPr>
          <w:p>
            <w:pPr>
              <w:keepNext/>
              <w:spacing w:line="283" w:lineRule="auto" w:after="0"/>
              <w:ind w:firstLine="0"/>
              <w:jc w:val="center"/>
            </w:pPr>
            <w:r>
              <w:rPr>
                <w:b/>
                <w:sz w:val="18"/>
              </w:rPr>
              <w:t>已有证据</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发送与接收均匹配</w:t>
            </w:r>
          </w:p>
        </w:tc>
        <w:tc>
          <w:tcPr>
            <w:tcW w:type="dxa" w:w="3231"/>
            <w:vAlign w:val="center"/>
            <w:tcMar>
              <w:top w:w="60" w:type="dxa"/>
              <w:bottom w:w="60" w:type="dxa"/>
              <w:left w:w="95" w:type="dxa"/>
              <w:right w:w="95" w:type="dxa"/>
            </w:tcMar>
            <w:shd w:fill="FFFFFF"/>
          </w:tcPr>
          <w:p>
            <w:pPr>
              <w:keepNext/>
              <w:spacing w:line="283" w:lineRule="auto" w:after="0"/>
              <w:ind w:firstLine="0"/>
              <w:jc w:val="center"/>
            </w:pPr>
            <w:r>
              <w:rPr>
                <w:b w:val="0"/>
                <w:sz w:val="18"/>
              </w:rPr>
              <w:t>原消息逐字节恢复</w:t>
            </w:r>
          </w:p>
        </w:tc>
        <w:tc>
          <w:tcPr>
            <w:tcW w:type="dxa" w:w="3572"/>
            <w:vAlign w:val="center"/>
            <w:tcMar>
              <w:top w:w="60" w:type="dxa"/>
              <w:bottom w:w="60" w:type="dxa"/>
              <w:left w:w="95" w:type="dxa"/>
              <w:right w:w="95" w:type="dxa"/>
            </w:tcMar>
            <w:shd w:fill="FFFFFF"/>
          </w:tcPr>
          <w:p>
            <w:pPr>
              <w:keepNext/>
              <w:spacing w:line="283" w:lineRule="auto" w:after="0"/>
              <w:ind w:firstLine="0"/>
              <w:jc w:val="center"/>
            </w:pPr>
            <w:r>
              <w:rPr>
                <w:b w:val="0"/>
                <w:sz w:val="18"/>
              </w:rPr>
              <w:t>三组重复基线及Web与CLI验收</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仅发送身份错配</w:t>
            </w:r>
          </w:p>
        </w:tc>
        <w:tc>
          <w:tcPr>
            <w:tcW w:type="dxa" w:w="3231"/>
            <w:vAlign w:val="center"/>
            <w:tcMar>
              <w:top w:w="60" w:type="dxa"/>
              <w:bottom w:w="60" w:type="dxa"/>
              <w:left w:w="95" w:type="dxa"/>
              <w:right w:w="95" w:type="dxa"/>
            </w:tcMar>
            <w:shd w:fill="FFFFFF"/>
          </w:tcPr>
          <w:p>
            <w:pPr>
              <w:keepNext/>
              <w:spacing w:line="283" w:lineRule="auto" w:after="0"/>
              <w:ind w:firstLine="0"/>
              <w:jc w:val="center"/>
            </w:pPr>
            <w:r>
              <w:rPr>
                <w:b w:val="0"/>
                <w:sz w:val="18"/>
              </w:rPr>
              <w:t>BOTTOM</w:t>
            </w:r>
          </w:p>
        </w:tc>
        <w:tc>
          <w:tcPr>
            <w:tcW w:type="dxa" w:w="3572"/>
            <w:vAlign w:val="center"/>
            <w:tcMar>
              <w:top w:w="60" w:type="dxa"/>
              <w:bottom w:w="60" w:type="dxa"/>
              <w:left w:w="95" w:type="dxa"/>
              <w:right w:w="95" w:type="dxa"/>
            </w:tcMar>
            <w:shd w:fill="FFFFFF"/>
          </w:tcPr>
          <w:p>
            <w:pPr>
              <w:keepNext/>
              <w:spacing w:line="283" w:lineRule="auto" w:after="0"/>
              <w:ind w:firstLine="0"/>
              <w:jc w:val="center"/>
            </w:pPr>
            <w:r>
              <w:rPr>
                <w:b w:val="0"/>
                <w:sz w:val="18"/>
              </w:rPr>
              <w:t>三组Web场景与CLI负向记录</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仅接收身份错配</w:t>
            </w:r>
          </w:p>
        </w:tc>
        <w:tc>
          <w:tcPr>
            <w:tcW w:type="dxa" w:w="3231"/>
            <w:vAlign w:val="center"/>
            <w:tcMar>
              <w:top w:w="60" w:type="dxa"/>
              <w:bottom w:w="60" w:type="dxa"/>
              <w:left w:w="95" w:type="dxa"/>
              <w:right w:w="95" w:type="dxa"/>
            </w:tcMar>
            <w:shd w:fill="FFFFFF"/>
          </w:tcPr>
          <w:p>
            <w:pPr>
              <w:keepNext/>
              <w:spacing w:line="283" w:lineRule="auto" w:after="0"/>
              <w:ind w:firstLine="0"/>
              <w:jc w:val="center"/>
            </w:pPr>
            <w:r>
              <w:rPr>
                <w:b w:val="0"/>
                <w:sz w:val="18"/>
              </w:rPr>
              <w:t>BOTTOM</w:t>
            </w:r>
          </w:p>
        </w:tc>
        <w:tc>
          <w:tcPr>
            <w:tcW w:type="dxa" w:w="3572"/>
            <w:vAlign w:val="center"/>
            <w:tcMar>
              <w:top w:w="60" w:type="dxa"/>
              <w:bottom w:w="60" w:type="dxa"/>
              <w:left w:w="95" w:type="dxa"/>
              <w:right w:w="95" w:type="dxa"/>
            </w:tcMar>
            <w:shd w:fill="FFFFFF"/>
          </w:tcPr>
          <w:p>
            <w:pPr>
              <w:keepNext/>
              <w:spacing w:line="283" w:lineRule="auto" w:after="0"/>
              <w:ind w:firstLine="0"/>
              <w:jc w:val="center"/>
            </w:pPr>
            <w:r>
              <w:rPr>
                <w:b w:val="0"/>
                <w:sz w:val="18"/>
              </w:rPr>
              <w:t>同上</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双方身份错配</w:t>
            </w:r>
          </w:p>
        </w:tc>
        <w:tc>
          <w:tcPr>
            <w:tcW w:type="dxa" w:w="3231"/>
            <w:vAlign w:val="center"/>
            <w:tcMar>
              <w:top w:w="60" w:type="dxa"/>
              <w:bottom w:w="60" w:type="dxa"/>
              <w:left w:w="95" w:type="dxa"/>
              <w:right w:w="95" w:type="dxa"/>
            </w:tcMar>
            <w:shd w:fill="FFFFFF"/>
          </w:tcPr>
          <w:p>
            <w:pPr>
              <w:keepNext/>
              <w:spacing w:line="283" w:lineRule="auto" w:after="0"/>
              <w:ind w:firstLine="0"/>
              <w:jc w:val="center"/>
            </w:pPr>
            <w:r>
              <w:rPr>
                <w:b w:val="0"/>
                <w:sz w:val="18"/>
              </w:rPr>
              <w:t>BOTTOM</w:t>
            </w:r>
          </w:p>
        </w:tc>
        <w:tc>
          <w:tcPr>
            <w:tcW w:type="dxa" w:w="3572"/>
            <w:vAlign w:val="center"/>
            <w:tcMar>
              <w:top w:w="60" w:type="dxa"/>
              <w:bottom w:w="60" w:type="dxa"/>
              <w:left w:w="95" w:type="dxa"/>
              <w:right w:w="95" w:type="dxa"/>
            </w:tcMar>
            <w:shd w:fill="FFFFFF"/>
          </w:tcPr>
          <w:p>
            <w:pPr>
              <w:keepNext/>
              <w:spacing w:line="283" w:lineRule="auto" w:after="0"/>
              <w:ind w:firstLine="0"/>
              <w:jc w:val="center"/>
            </w:pPr>
            <w:r>
              <w:rPr>
                <w:b w:val="0"/>
                <w:sz w:val="18"/>
              </w:rPr>
              <w:t>同上</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修改截断追加或重复密文</w:t>
            </w:r>
          </w:p>
        </w:tc>
        <w:tc>
          <w:tcPr>
            <w:tcW w:type="dxa" w:w="3231"/>
            <w:vAlign w:val="center"/>
            <w:tcMar>
              <w:top w:w="60" w:type="dxa"/>
              <w:bottom w:w="60" w:type="dxa"/>
              <w:left w:w="95" w:type="dxa"/>
              <w:right w:w="95" w:type="dxa"/>
            </w:tcMar>
            <w:shd w:fill="FFFFFF"/>
          </w:tcPr>
          <w:p>
            <w:pPr>
              <w:keepNext/>
              <w:spacing w:line="283" w:lineRule="auto" w:after="0"/>
              <w:ind w:firstLine="0"/>
              <w:jc w:val="center"/>
            </w:pPr>
            <w:r>
              <w:rPr>
                <w:b w:val="0"/>
                <w:sz w:val="18"/>
              </w:rPr>
              <w:t>解析失败或密码学拒绝</w:t>
            </w:r>
          </w:p>
        </w:tc>
        <w:tc>
          <w:tcPr>
            <w:tcW w:type="dxa" w:w="3572"/>
            <w:vAlign w:val="center"/>
            <w:tcMar>
              <w:top w:w="60" w:type="dxa"/>
              <w:bottom w:w="60" w:type="dxa"/>
              <w:left w:w="95" w:type="dxa"/>
              <w:right w:w="95" w:type="dxa"/>
            </w:tcMar>
            <w:shd w:fill="FFFFFF"/>
          </w:tcPr>
          <w:p>
            <w:pPr>
              <w:keepNext/>
              <w:spacing w:line="283" w:lineRule="auto" w:after="0"/>
              <w:ind w:firstLine="0"/>
              <w:jc w:val="center"/>
            </w:pPr>
            <w:r>
              <w:rPr>
                <w:b w:val="0"/>
                <w:sz w:val="18"/>
              </w:rPr>
              <w:t>完整wire与CLI验收</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固定状态加载与再次解密</w:t>
            </w:r>
          </w:p>
        </w:tc>
        <w:tc>
          <w:tcPr>
            <w:tcW w:type="dxa" w:w="3231"/>
            <w:vAlign w:val="center"/>
            <w:tcMar>
              <w:top w:w="60" w:type="dxa"/>
              <w:bottom w:w="60" w:type="dxa"/>
              <w:left w:w="95" w:type="dxa"/>
              <w:right w:w="95" w:type="dxa"/>
            </w:tcMar>
            <w:shd w:fill="FFFFFF"/>
          </w:tcPr>
          <w:p>
            <w:pPr>
              <w:keepNext/>
              <w:spacing w:line="283" w:lineRule="auto" w:after="0"/>
              <w:ind w:firstLine="0"/>
              <w:jc w:val="center"/>
            </w:pPr>
            <w:r>
              <w:rPr>
                <w:b w:val="0"/>
                <w:sz w:val="18"/>
              </w:rPr>
              <w:t>无重新发钥且消息一致</w:t>
            </w:r>
          </w:p>
        </w:tc>
        <w:tc>
          <w:tcPr>
            <w:tcW w:type="dxa" w:w="3572"/>
            <w:vAlign w:val="center"/>
            <w:tcMar>
              <w:top w:w="60" w:type="dxa"/>
              <w:bottom w:w="60" w:type="dxa"/>
              <w:left w:w="95" w:type="dxa"/>
              <w:right w:w="95" w:type="dxa"/>
            </w:tcMar>
            <w:shd w:fill="FFFFFF"/>
          </w:tcPr>
          <w:p>
            <w:pPr>
              <w:keepNext/>
              <w:spacing w:line="283" w:lineRule="auto" w:after="0"/>
              <w:ind w:firstLine="0"/>
              <w:jc w:val="center"/>
            </w:pPr>
            <w:r>
              <w:rPr>
                <w:b w:val="0"/>
                <w:sz w:val="18"/>
              </w:rPr>
              <w:t>每组9次恢复解密</w:t>
            </w:r>
          </w:p>
        </w:tc>
      </w:tr>
      <w:tr>
        <w:trPr>
          <w:cantSplit/>
        </w:trPr>
        <w:tc>
          <w:tcPr>
            <w:tcW w:type="dxa" w:w="2268"/>
            <w:vAlign w:val="center"/>
            <w:tcMar>
              <w:top w:w="60" w:type="dxa"/>
              <w:bottom w:w="60" w:type="dxa"/>
              <w:left w:w="95" w:type="dxa"/>
              <w:right w:w="95" w:type="dxa"/>
            </w:tcMar>
            <w:shd w:fill="FFFFFF"/>
          </w:tcPr>
          <w:p>
            <w:pPr>
              <w:keepNext w:val="0"/>
              <w:spacing w:line="283" w:lineRule="auto" w:after="0"/>
              <w:ind w:firstLine="0"/>
            </w:pPr>
            <w:r>
              <w:rPr>
                <w:b w:val="0"/>
                <w:sz w:val="18"/>
              </w:rPr>
              <w:t>服务异常</w:t>
            </w:r>
          </w:p>
        </w:tc>
        <w:tc>
          <w:tcPr>
            <w:tcW w:type="dxa" w:w="3231"/>
            <w:vAlign w:val="center"/>
            <w:tcMar>
              <w:top w:w="60" w:type="dxa"/>
              <w:bottom w:w="60" w:type="dxa"/>
              <w:left w:w="95" w:type="dxa"/>
              <w:right w:w="95" w:type="dxa"/>
            </w:tcMar>
            <w:shd w:fill="FFFFFF"/>
          </w:tcPr>
          <w:p>
            <w:pPr>
              <w:keepNext w:val="0"/>
              <w:spacing w:line="283" w:lineRule="auto" w:after="0"/>
              <w:ind w:firstLine="0"/>
              <w:jc w:val="center"/>
            </w:pPr>
            <w:r>
              <w:rPr>
                <w:b w:val="0"/>
                <w:sz w:val="18"/>
              </w:rPr>
              <w:t>明确执行失败</w:t>
            </w:r>
          </w:p>
        </w:tc>
        <w:tc>
          <w:tcPr>
            <w:tcW w:type="dxa" w:w="3572"/>
            <w:vAlign w:val="center"/>
            <w:tcMar>
              <w:top w:w="60" w:type="dxa"/>
              <w:bottom w:w="60" w:type="dxa"/>
              <w:left w:w="95" w:type="dxa"/>
              <w:right w:w="95" w:type="dxa"/>
            </w:tcMar>
            <w:shd w:fill="FFFFFF"/>
          </w:tcPr>
          <w:p>
            <w:pPr>
              <w:keepNext w:val="0"/>
              <w:spacing w:line="283" w:lineRule="auto" w:after="0"/>
              <w:ind w:firstLine="0"/>
              <w:jc w:val="center"/>
            </w:pPr>
            <w:r>
              <w:rPr>
                <w:b w:val="0"/>
                <w:sz w:val="18"/>
              </w:rPr>
              <w:t>不纳入拒绝成功统计</w:t>
            </w:r>
          </w:p>
        </w:tc>
      </w:tr>
    </w:tbl>
    <w:p>
      <w:pPr>
        <w:spacing w:after="40" w:line="96" w:lineRule="auto"/>
      </w:pPr>
    </w:p>
    <w:p>
      <w:r>
        <w:rPr>
          <w:b w:val="0"/>
        </w:rPr>
        <w:t>网页三组预设18项核心场景已验收；独立CLI完成15步生命周期与新进程零熵恢复。网页刷新可以重连临时会话，但服务重启会丢失网页会话，持久恢复能力由CLI状态路径提供。不能从网页刷新仍有效推断服务器重启恢复已经由网页实现。[E12]</w:t>
      </w:r>
    </w:p>
    <w:p>
      <w:pPr>
        <w:pStyle w:val="Heading2"/>
      </w:pPr>
      <w:r>
        <w:t>5.3 完整生命周期时间</w:t>
      </w:r>
    </w:p>
    <w:p>
      <w:pPr>
        <w:pStyle w:val="Caption"/>
        <w:keepNext/>
        <w:jc w:val="center"/>
      </w:pPr>
      <w:r>
        <w:t>表4 三组完整IBME的时间中位数 单位秒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984"/>
        <w:gridCol w:w="1984"/>
        <w:gridCol w:w="1984"/>
      </w:tblGrid>
      <w:tr>
        <w:trPr>
          <w:cantSplit/>
          <w:tblHeader/>
        </w:trPr>
        <w:tc>
          <w:tcPr>
            <w:tcW w:type="dxa" w:w="3118"/>
            <w:vAlign w:val="center"/>
            <w:tcMar>
              <w:top w:w="60" w:type="dxa"/>
              <w:bottom w:w="60" w:type="dxa"/>
              <w:left w:w="95" w:type="dxa"/>
              <w:right w:w="95" w:type="dxa"/>
            </w:tcMar>
            <w:shd w:fill="E9EDF0"/>
          </w:tcPr>
          <w:p>
            <w:pPr>
              <w:keepNext/>
              <w:spacing w:line="283" w:lineRule="auto" w:after="0"/>
              <w:ind w:firstLine="0"/>
              <w:jc w:val="center"/>
            </w:pPr>
            <w:r>
              <w:rPr>
                <w:b/>
                <w:sz w:val="18"/>
              </w:rPr>
              <w:t>操作</w:t>
            </w:r>
          </w:p>
        </w:tc>
        <w:tc>
          <w:tcPr>
            <w:tcW w:type="dxa" w:w="1984"/>
            <w:vAlign w:val="center"/>
            <w:tcMar>
              <w:top w:w="60" w:type="dxa"/>
              <w:bottom w:w="60" w:type="dxa"/>
              <w:left w:w="95" w:type="dxa"/>
              <w:right w:w="95" w:type="dxa"/>
            </w:tcMar>
            <w:shd w:fill="E9EDF0"/>
          </w:tcPr>
          <w:p>
            <w:pPr>
              <w:keepNext/>
              <w:spacing w:line="283" w:lineRule="auto" w:after="0"/>
              <w:ind w:firstLine="0"/>
              <w:jc w:val="center"/>
            </w:pPr>
            <w:r>
              <w:rPr>
                <w:b/>
                <w:sz w:val="18"/>
              </w:rPr>
              <w:t>MLDSA</w:t>
            </w:r>
          </w:p>
        </w:tc>
        <w:tc>
          <w:tcPr>
            <w:tcW w:type="dxa" w:w="1984"/>
            <w:vAlign w:val="center"/>
            <w:tcMar>
              <w:top w:w="60" w:type="dxa"/>
              <w:bottom w:w="60" w:type="dxa"/>
              <w:left w:w="95" w:type="dxa"/>
              <w:right w:w="95" w:type="dxa"/>
            </w:tcMar>
            <w:shd w:fill="E9EDF0"/>
          </w:tcPr>
          <w:p>
            <w:pPr>
              <w:keepNext/>
              <w:spacing w:line="283" w:lineRule="auto" w:after="0"/>
              <w:ind w:firstLine="0"/>
              <w:jc w:val="center"/>
            </w:pPr>
            <w:r>
              <w:rPr>
                <w:b/>
                <w:sz w:val="18"/>
              </w:rPr>
              <w:t>Falcon</w:t>
            </w:r>
          </w:p>
        </w:tc>
        <w:tc>
          <w:tcPr>
            <w:tcW w:type="dxa" w:w="1984"/>
            <w:vAlign w:val="center"/>
            <w:tcMar>
              <w:top w:w="60" w:type="dxa"/>
              <w:bottom w:w="60" w:type="dxa"/>
              <w:left w:w="95" w:type="dxa"/>
              <w:right w:w="95" w:type="dxa"/>
            </w:tcMar>
            <w:shd w:fill="E9EDF0"/>
          </w:tcPr>
          <w:p>
            <w:pPr>
              <w:keepNext/>
              <w:spacing w:line="283" w:lineRule="auto" w:after="0"/>
              <w:ind w:firstLine="0"/>
              <w:jc w:val="center"/>
            </w:pPr>
            <w:r>
              <w:rPr>
                <w:b/>
                <w:sz w:val="18"/>
              </w:rPr>
              <w:t>Luo</w:t>
            </w:r>
          </w:p>
        </w:tc>
      </w:tr>
      <w:tr>
        <w:trPr>
          <w:cantSplit/>
        </w:trPr>
        <w:tc>
          <w:tcPr>
            <w:tcW w:type="dxa" w:w="3118"/>
            <w:vAlign w:val="center"/>
            <w:tcMar>
              <w:top w:w="60" w:type="dxa"/>
              <w:bottom w:w="60" w:type="dxa"/>
              <w:left w:w="95" w:type="dxa"/>
              <w:right w:w="95" w:type="dxa"/>
            </w:tcMar>
            <w:shd w:fill="FFFFFF"/>
          </w:tcPr>
          <w:p>
            <w:pPr>
              <w:keepNext/>
              <w:spacing w:line="283" w:lineRule="auto" w:after="0"/>
              <w:ind w:firstLine="0"/>
            </w:pPr>
            <w:r>
              <w:rPr>
                <w:b w:val="0"/>
                <w:sz w:val="18"/>
              </w:rPr>
              <w:t>Setup</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0.984492</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0.911282</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0.964105</w:t>
            </w:r>
          </w:p>
        </w:tc>
      </w:tr>
      <w:tr>
        <w:trPr>
          <w:cantSplit/>
        </w:trPr>
        <w:tc>
          <w:tcPr>
            <w:tcW w:type="dxa" w:w="3118"/>
            <w:vAlign w:val="center"/>
            <w:tcMar>
              <w:top w:w="60" w:type="dxa"/>
              <w:bottom w:w="60" w:type="dxa"/>
              <w:left w:w="95" w:type="dxa"/>
              <w:right w:w="95" w:type="dxa"/>
            </w:tcMar>
            <w:shd w:fill="FFFFFF"/>
          </w:tcPr>
          <w:p>
            <w:pPr>
              <w:keepNext/>
              <w:spacing w:line="283" w:lineRule="auto" w:after="0"/>
              <w:ind w:firstLine="0"/>
            </w:pPr>
            <w:r>
              <w:rPr>
                <w:b w:val="0"/>
                <w:sz w:val="18"/>
              </w:rPr>
              <w:t>发送发钥</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0.273598</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0.160366</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0.318922</w:t>
            </w:r>
          </w:p>
        </w:tc>
      </w:tr>
      <w:tr>
        <w:trPr>
          <w:cantSplit/>
        </w:trPr>
        <w:tc>
          <w:tcPr>
            <w:tcW w:type="dxa" w:w="3118"/>
            <w:vAlign w:val="center"/>
            <w:tcMar>
              <w:top w:w="60" w:type="dxa"/>
              <w:bottom w:w="60" w:type="dxa"/>
              <w:left w:w="95" w:type="dxa"/>
              <w:right w:w="95" w:type="dxa"/>
            </w:tcMar>
            <w:shd w:fill="FFFFFF"/>
          </w:tcPr>
          <w:p>
            <w:pPr>
              <w:keepNext/>
              <w:spacing w:line="283" w:lineRule="auto" w:after="0"/>
              <w:ind w:firstLine="0"/>
            </w:pPr>
            <w:r>
              <w:rPr>
                <w:b w:val="0"/>
                <w:sz w:val="18"/>
              </w:rPr>
              <w:t>接收发钥</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0.754343</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0.511102</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0.472760</w:t>
            </w:r>
          </w:p>
        </w:tc>
      </w:tr>
      <w:tr>
        <w:trPr>
          <w:cantSplit/>
        </w:trPr>
        <w:tc>
          <w:tcPr>
            <w:tcW w:type="dxa" w:w="3118"/>
            <w:vAlign w:val="center"/>
            <w:tcMar>
              <w:top w:w="60" w:type="dxa"/>
              <w:bottom w:w="60" w:type="dxa"/>
              <w:left w:w="95" w:type="dxa"/>
              <w:right w:w="95" w:type="dxa"/>
            </w:tcMar>
            <w:shd w:fill="FFFFFF"/>
          </w:tcPr>
          <w:p>
            <w:pPr>
              <w:keepNext/>
              <w:spacing w:line="283" w:lineRule="auto" w:after="0"/>
              <w:ind w:firstLine="0"/>
            </w:pPr>
            <w:r>
              <w:rPr>
                <w:b w:val="0"/>
                <w:sz w:val="18"/>
              </w:rPr>
              <w:t>首次加密</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0.224485</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0.217907</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0.609756</w:t>
            </w:r>
          </w:p>
        </w:tc>
      </w:tr>
      <w:tr>
        <w:trPr>
          <w:cantSplit/>
        </w:trPr>
        <w:tc>
          <w:tcPr>
            <w:tcW w:type="dxa" w:w="3118"/>
            <w:vAlign w:val="center"/>
            <w:tcMar>
              <w:top w:w="60" w:type="dxa"/>
              <w:bottom w:w="60" w:type="dxa"/>
              <w:left w:w="95" w:type="dxa"/>
              <w:right w:w="95" w:type="dxa"/>
            </w:tcMar>
            <w:shd w:fill="FFFFFF"/>
          </w:tcPr>
          <w:p>
            <w:pPr>
              <w:keepNext/>
              <w:spacing w:line="283" w:lineRule="auto" w:after="0"/>
              <w:ind w:firstLine="0"/>
            </w:pPr>
            <w:r>
              <w:rPr>
                <w:b w:val="0"/>
                <w:sz w:val="18"/>
              </w:rPr>
              <w:t>首次解密含叶生成</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0.403997</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0.368917</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0.382824</w:t>
            </w:r>
          </w:p>
        </w:tc>
      </w:tr>
      <w:tr>
        <w:trPr>
          <w:cantSplit/>
        </w:trPr>
        <w:tc>
          <w:tcPr>
            <w:tcW w:type="dxa" w:w="3118"/>
            <w:vAlign w:val="center"/>
            <w:tcMar>
              <w:top w:w="60" w:type="dxa"/>
              <w:bottom w:w="60" w:type="dxa"/>
              <w:left w:w="95" w:type="dxa"/>
              <w:right w:w="95" w:type="dxa"/>
            </w:tcMar>
            <w:shd w:fill="FFFFFF"/>
          </w:tcPr>
          <w:p>
            <w:pPr>
              <w:keepNext/>
              <w:spacing w:line="283" w:lineRule="auto" w:after="0"/>
              <w:ind w:firstLine="0"/>
            </w:pPr>
            <w:r>
              <w:rPr>
                <w:b w:val="0"/>
                <w:sz w:val="18"/>
              </w:rPr>
              <w:t>热加密</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0.211125</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0.200346</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0.364461</w:t>
            </w:r>
          </w:p>
        </w:tc>
      </w:tr>
      <w:tr>
        <w:trPr>
          <w:cantSplit/>
        </w:trPr>
        <w:tc>
          <w:tcPr>
            <w:tcW w:type="dxa" w:w="3118"/>
            <w:vAlign w:val="center"/>
            <w:tcMar>
              <w:top w:w="60" w:type="dxa"/>
              <w:bottom w:w="60" w:type="dxa"/>
              <w:left w:w="95" w:type="dxa"/>
              <w:right w:w="95" w:type="dxa"/>
            </w:tcMar>
            <w:shd w:fill="FFFFFF"/>
          </w:tcPr>
          <w:p>
            <w:pPr>
              <w:keepNext/>
              <w:spacing w:line="283" w:lineRule="auto" w:after="0"/>
              <w:ind w:firstLine="0"/>
            </w:pPr>
            <w:r>
              <w:rPr>
                <w:b w:val="0"/>
                <w:sz w:val="18"/>
              </w:rPr>
              <w:t>热解密</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0.280116</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0.249274</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0.229220</w:t>
            </w:r>
          </w:p>
        </w:tc>
      </w:tr>
      <w:tr>
        <w:trPr>
          <w:cantSplit/>
        </w:trPr>
        <w:tc>
          <w:tcPr>
            <w:tcW w:type="dxa" w:w="3118"/>
            <w:vAlign w:val="center"/>
            <w:tcMar>
              <w:top w:w="60" w:type="dxa"/>
              <w:bottom w:w="60" w:type="dxa"/>
              <w:left w:w="95" w:type="dxa"/>
              <w:right w:w="95" w:type="dxa"/>
            </w:tcMar>
            <w:shd w:fill="FFFFFF"/>
          </w:tcPr>
          <w:p>
            <w:pPr>
              <w:keepNext/>
              <w:spacing w:line="283" w:lineRule="auto" w:after="0"/>
              <w:ind w:firstLine="0"/>
            </w:pPr>
            <w:r>
              <w:rPr>
                <w:b w:val="0"/>
                <w:sz w:val="18"/>
              </w:rPr>
              <w:t>对象恢复</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0.665062</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0.674278</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0.779928</w:t>
            </w:r>
          </w:p>
        </w:tc>
      </w:tr>
      <w:tr>
        <w:trPr>
          <w:cantSplit/>
        </w:trPr>
        <w:tc>
          <w:tcPr>
            <w:tcW w:type="dxa" w:w="3118"/>
            <w:vAlign w:val="center"/>
            <w:tcMar>
              <w:top w:w="60" w:type="dxa"/>
              <w:bottom w:w="60" w:type="dxa"/>
              <w:left w:w="95" w:type="dxa"/>
              <w:right w:w="95" w:type="dxa"/>
            </w:tcMar>
            <w:shd w:fill="FFFFFF"/>
          </w:tcPr>
          <w:p>
            <w:pPr>
              <w:keepNext w:val="0"/>
              <w:spacing w:line="283" w:lineRule="auto" w:after="0"/>
              <w:ind w:firstLine="0"/>
            </w:pPr>
            <w:r>
              <w:rPr>
                <w:b w:val="0"/>
                <w:sz w:val="18"/>
              </w:rPr>
              <w:t>恢复后解密</w:t>
            </w:r>
          </w:p>
        </w:tc>
        <w:tc>
          <w:tcPr>
            <w:tcW w:type="dxa" w:w="1984"/>
            <w:vAlign w:val="center"/>
            <w:tcMar>
              <w:top w:w="60" w:type="dxa"/>
              <w:bottom w:w="60" w:type="dxa"/>
              <w:left w:w="95" w:type="dxa"/>
              <w:right w:w="95" w:type="dxa"/>
            </w:tcMar>
            <w:shd w:fill="FFFFFF"/>
          </w:tcPr>
          <w:p>
            <w:pPr>
              <w:keepNext w:val="0"/>
              <w:spacing w:line="283" w:lineRule="auto" w:after="0"/>
              <w:ind w:firstLine="0"/>
              <w:jc w:val="center"/>
            </w:pPr>
            <w:r>
              <w:rPr>
                <w:b w:val="0"/>
                <w:sz w:val="18"/>
              </w:rPr>
              <w:t>0.281654</w:t>
            </w:r>
          </w:p>
        </w:tc>
        <w:tc>
          <w:tcPr>
            <w:tcW w:type="dxa" w:w="1984"/>
            <w:vAlign w:val="center"/>
            <w:tcMar>
              <w:top w:w="60" w:type="dxa"/>
              <w:bottom w:w="60" w:type="dxa"/>
              <w:left w:w="95" w:type="dxa"/>
              <w:right w:w="95" w:type="dxa"/>
            </w:tcMar>
            <w:shd w:fill="FFFFFF"/>
          </w:tcPr>
          <w:p>
            <w:pPr>
              <w:keepNext w:val="0"/>
              <w:spacing w:line="283" w:lineRule="auto" w:after="0"/>
              <w:ind w:firstLine="0"/>
              <w:jc w:val="center"/>
            </w:pPr>
            <w:r>
              <w:rPr>
                <w:b w:val="0"/>
                <w:sz w:val="18"/>
              </w:rPr>
              <w:t>0.247483</w:t>
            </w:r>
          </w:p>
        </w:tc>
        <w:tc>
          <w:tcPr>
            <w:tcW w:type="dxa" w:w="1984"/>
            <w:vAlign w:val="center"/>
            <w:tcMar>
              <w:top w:w="60" w:type="dxa"/>
              <w:bottom w:w="60" w:type="dxa"/>
              <w:left w:w="95" w:type="dxa"/>
              <w:right w:w="95" w:type="dxa"/>
            </w:tcMar>
            <w:shd w:fill="FFFFFF"/>
          </w:tcPr>
          <w:p>
            <w:pPr>
              <w:keepNext w:val="0"/>
              <w:spacing w:line="283" w:lineRule="auto" w:after="0"/>
              <w:ind w:firstLine="0"/>
              <w:jc w:val="center"/>
            </w:pPr>
            <w:r>
              <w:rPr>
                <w:b w:val="0"/>
                <w:sz w:val="18"/>
              </w:rPr>
              <w:t>0.234768</w:t>
            </w:r>
          </w:p>
        </w:tc>
      </w:tr>
    </w:tbl>
    <w:p>
      <w:pPr>
        <w:spacing w:after="40" w:line="96" w:lineRule="auto"/>
      </w:pPr>
    </w:p>
    <w:p>
      <w:r>
        <w:rPr>
          <w:b w:val="0"/>
        </w:rPr>
        <w:t>Setup、双方发钥、首次加密、首次解密及对象恢复各3次，热加解密与恢复后解密各9次。导入与构建运行时不混入上述单操作。首次解密和热解密存在状态差异，因此应分别列出。表中结果描述当前具体配置的观察，不作跨安全目标的速度排名。</w:t>
      </w:r>
    </w:p>
    <w:p>
      <w:pPr>
        <w:keepNext/>
        <w:ind w:firstLine="0"/>
        <w:jc w:val="center"/>
      </w:pPr>
      <w:r>
        <w:drawing>
          <wp:inline xmlns:a="http://schemas.openxmlformats.org/drawingml/2006/main" xmlns:pic="http://schemas.openxmlformats.org/drawingml/2006/picture">
            <wp:extent cx="5760000" cy="2192496"/>
            <wp:docPr id="4" name="Picture 4"/>
            <wp:cNvGraphicFramePr>
              <a:graphicFrameLocks noChangeAspect="1"/>
            </wp:cNvGraphicFramePr>
            <a:graphic>
              <a:graphicData uri="http://schemas.openxmlformats.org/drawingml/2006/picture">
                <pic:pic>
                  <pic:nvPicPr>
                    <pic:cNvPr id="0" name="baseline.png"/>
                    <pic:cNvPicPr/>
                  </pic:nvPicPr>
                  <pic:blipFill>
                    <a:blip r:embed="rId14"/>
                    <a:stretch>
                      <a:fillRect/>
                    </a:stretch>
                  </pic:blipFill>
                  <pic:spPr>
                    <a:xfrm>
                      <a:off x="0" y="0"/>
                      <a:ext cx="5760000" cy="2192496"/>
                    </a:xfrm>
                    <a:prstGeom prst="rect"/>
                  </pic:spPr>
                </pic:pic>
              </a:graphicData>
            </a:graphic>
          </wp:inline>
        </w:drawing>
      </w:r>
    </w:p>
    <w:p>
      <w:pPr>
        <w:pStyle w:val="Caption"/>
        <w:keepNext w:val="0"/>
        <w:jc w:val="center"/>
      </w:pPr>
      <w:r>
        <w:t>图4 三组完整系统热运行观察</w:t>
      </w:r>
    </w:p>
    <w:p>
      <w:r>
        <w:rPr>
          <w:b w:val="0"/>
        </w:rPr>
        <w:t>图4逐点保留9次热运行观察，并以短横线表示中位数。各点来自3套系统状态内重复调用，不能用于宣称低概率失败界或大规模用户吞吐保证。首次和恢复成本仍以表4为准。</w:t>
      </w:r>
    </w:p>
    <w:p>
      <w:pPr>
        <w:pStyle w:val="Heading2"/>
      </w:pPr>
      <w:r>
        <w:t>5.4 完整尺寸与内存</w:t>
      </w:r>
    </w:p>
    <w:p>
      <w:pPr>
        <w:pStyle w:val="Caption"/>
        <w:keepNext/>
        <w:jc w:val="center"/>
      </w:pPr>
      <w:r>
        <w:t>表5 完整wire及持久对象尺寸 单位字节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984"/>
        <w:gridCol w:w="1984"/>
        <w:gridCol w:w="1984"/>
      </w:tblGrid>
      <w:tr>
        <w:trPr>
          <w:cantSplit/>
          <w:tblHeader/>
        </w:trPr>
        <w:tc>
          <w:tcPr>
            <w:tcW w:type="dxa" w:w="3118"/>
            <w:vAlign w:val="center"/>
            <w:tcMar>
              <w:top w:w="60" w:type="dxa"/>
              <w:bottom w:w="60" w:type="dxa"/>
              <w:left w:w="95" w:type="dxa"/>
              <w:right w:w="95" w:type="dxa"/>
            </w:tcMar>
            <w:shd w:fill="E9EDF0"/>
          </w:tcPr>
          <w:p>
            <w:pPr>
              <w:keepNext/>
              <w:spacing w:line="283" w:lineRule="auto" w:after="0"/>
              <w:ind w:firstLine="0"/>
              <w:jc w:val="center"/>
            </w:pPr>
            <w:r>
              <w:rPr>
                <w:b/>
                <w:sz w:val="18"/>
              </w:rPr>
              <w:t>对象</w:t>
            </w:r>
          </w:p>
        </w:tc>
        <w:tc>
          <w:tcPr>
            <w:tcW w:type="dxa" w:w="1984"/>
            <w:vAlign w:val="center"/>
            <w:tcMar>
              <w:top w:w="60" w:type="dxa"/>
              <w:bottom w:w="60" w:type="dxa"/>
              <w:left w:w="95" w:type="dxa"/>
              <w:right w:w="95" w:type="dxa"/>
            </w:tcMar>
            <w:shd w:fill="E9EDF0"/>
          </w:tcPr>
          <w:p>
            <w:pPr>
              <w:keepNext/>
              <w:spacing w:line="283" w:lineRule="auto" w:after="0"/>
              <w:ind w:firstLine="0"/>
              <w:jc w:val="center"/>
            </w:pPr>
            <w:r>
              <w:rPr>
                <w:b/>
                <w:sz w:val="18"/>
              </w:rPr>
              <w:t>MLDSA</w:t>
            </w:r>
          </w:p>
        </w:tc>
        <w:tc>
          <w:tcPr>
            <w:tcW w:type="dxa" w:w="1984"/>
            <w:vAlign w:val="center"/>
            <w:tcMar>
              <w:top w:w="60" w:type="dxa"/>
              <w:bottom w:w="60" w:type="dxa"/>
              <w:left w:w="95" w:type="dxa"/>
              <w:right w:w="95" w:type="dxa"/>
            </w:tcMar>
            <w:shd w:fill="E9EDF0"/>
          </w:tcPr>
          <w:p>
            <w:pPr>
              <w:keepNext/>
              <w:spacing w:line="283" w:lineRule="auto" w:after="0"/>
              <w:ind w:firstLine="0"/>
              <w:jc w:val="center"/>
            </w:pPr>
            <w:r>
              <w:rPr>
                <w:b/>
                <w:sz w:val="18"/>
              </w:rPr>
              <w:t>Falcon</w:t>
            </w:r>
          </w:p>
        </w:tc>
        <w:tc>
          <w:tcPr>
            <w:tcW w:type="dxa" w:w="1984"/>
            <w:vAlign w:val="center"/>
            <w:tcMar>
              <w:top w:w="60" w:type="dxa"/>
              <w:bottom w:w="60" w:type="dxa"/>
              <w:left w:w="95" w:type="dxa"/>
              <w:right w:w="95" w:type="dxa"/>
            </w:tcMar>
            <w:shd w:fill="E9EDF0"/>
          </w:tcPr>
          <w:p>
            <w:pPr>
              <w:keepNext/>
              <w:spacing w:line="283" w:lineRule="auto" w:after="0"/>
              <w:ind w:firstLine="0"/>
              <w:jc w:val="center"/>
            </w:pPr>
            <w:r>
              <w:rPr>
                <w:b/>
                <w:sz w:val="18"/>
              </w:rPr>
              <w:t>Luo</w:t>
            </w:r>
          </w:p>
        </w:tc>
      </w:tr>
      <w:tr>
        <w:trPr>
          <w:cantSplit/>
        </w:trPr>
        <w:tc>
          <w:tcPr>
            <w:tcW w:type="dxa" w:w="3118"/>
            <w:vAlign w:val="center"/>
            <w:tcMar>
              <w:top w:w="60" w:type="dxa"/>
              <w:bottom w:w="60" w:type="dxa"/>
              <w:left w:w="95" w:type="dxa"/>
              <w:right w:w="95" w:type="dxa"/>
            </w:tcMar>
            <w:shd w:fill="FFFFFF"/>
          </w:tcPr>
          <w:p>
            <w:pPr>
              <w:keepNext/>
              <w:spacing w:line="283" w:lineRule="auto" w:after="0"/>
              <w:ind w:firstLine="0"/>
            </w:pPr>
            <w:r>
              <w:rPr>
                <w:b w:val="0"/>
                <w:sz w:val="18"/>
              </w:rPr>
              <w:t>完整密文</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142051–142146</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138150–138207</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151876–151955</w:t>
            </w:r>
          </w:p>
        </w:tc>
      </w:tr>
      <w:tr>
        <w:trPr>
          <w:cantSplit/>
        </w:trPr>
        <w:tc>
          <w:tcPr>
            <w:tcW w:type="dxa" w:w="3118"/>
            <w:vAlign w:val="center"/>
            <w:tcMar>
              <w:top w:w="60" w:type="dxa"/>
              <w:bottom w:w="60" w:type="dxa"/>
              <w:left w:w="95" w:type="dxa"/>
              <w:right w:w="95" w:type="dxa"/>
            </w:tcMar>
            <w:shd w:fill="FFFFFF"/>
          </w:tcPr>
          <w:p>
            <w:pPr>
              <w:keepNext/>
              <w:spacing w:line="283" w:lineRule="auto" w:after="0"/>
              <w:ind w:firstLine="0"/>
            </w:pPr>
            <w:r>
              <w:rPr>
                <w:b w:val="0"/>
                <w:sz w:val="18"/>
              </w:rPr>
              <w:t>公开状态</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14352–14392</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13973–14020</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260819–260851</w:t>
            </w:r>
          </w:p>
        </w:tc>
      </w:tr>
      <w:tr>
        <w:trPr>
          <w:cantSplit/>
        </w:trPr>
        <w:tc>
          <w:tcPr>
            <w:tcW w:type="dxa" w:w="3118"/>
            <w:vAlign w:val="center"/>
            <w:tcMar>
              <w:top w:w="60" w:type="dxa"/>
              <w:bottom w:w="60" w:type="dxa"/>
              <w:left w:w="95" w:type="dxa"/>
              <w:right w:w="95" w:type="dxa"/>
            </w:tcMar>
            <w:shd w:fill="FFFFFF"/>
          </w:tcPr>
          <w:p>
            <w:pPr>
              <w:keepNext/>
              <w:spacing w:line="283" w:lineRule="auto" w:after="0"/>
              <w:ind w:firstLine="0"/>
            </w:pPr>
            <w:r>
              <w:rPr>
                <w:b w:val="0"/>
                <w:sz w:val="18"/>
              </w:rPr>
              <w:t>主秘密状态</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177557–177671</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172047–172371</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522253–522339</w:t>
            </w:r>
          </w:p>
        </w:tc>
      </w:tr>
      <w:tr>
        <w:trPr>
          <w:cantSplit/>
        </w:trPr>
        <w:tc>
          <w:tcPr>
            <w:tcW w:type="dxa" w:w="3118"/>
            <w:vAlign w:val="center"/>
            <w:tcMar>
              <w:top w:w="60" w:type="dxa"/>
              <w:bottom w:w="60" w:type="dxa"/>
              <w:left w:w="95" w:type="dxa"/>
              <w:right w:w="95" w:type="dxa"/>
            </w:tcMar>
            <w:shd w:fill="FFFFFF"/>
          </w:tcPr>
          <w:p>
            <w:pPr>
              <w:keepNext/>
              <w:spacing w:line="283" w:lineRule="auto" w:after="0"/>
              <w:ind w:firstLine="0"/>
            </w:pPr>
            <w:r>
              <w:rPr>
                <w:b w:val="0"/>
                <w:sz w:val="18"/>
              </w:rPr>
              <w:t>发送状态</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8050–8050</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4195–4195</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313813–313813</w:t>
            </w:r>
          </w:p>
        </w:tc>
      </w:tr>
      <w:tr>
        <w:trPr>
          <w:cantSplit/>
        </w:trPr>
        <w:tc>
          <w:tcPr>
            <w:tcW w:type="dxa" w:w="3118"/>
            <w:vAlign w:val="center"/>
            <w:tcMar>
              <w:top w:w="60" w:type="dxa"/>
              <w:bottom w:w="60" w:type="dxa"/>
              <w:left w:w="95" w:type="dxa"/>
              <w:right w:w="95" w:type="dxa"/>
            </w:tcMar>
            <w:shd w:fill="FFFFFF"/>
          </w:tcPr>
          <w:p>
            <w:pPr>
              <w:keepNext w:val="0"/>
              <w:spacing w:line="283" w:lineRule="auto" w:after="0"/>
              <w:ind w:firstLine="0"/>
            </w:pPr>
            <w:r>
              <w:rPr>
                <w:b w:val="0"/>
                <w:sz w:val="18"/>
              </w:rPr>
              <w:t>接收状态</w:t>
            </w:r>
          </w:p>
        </w:tc>
        <w:tc>
          <w:tcPr>
            <w:tcW w:type="dxa" w:w="1984"/>
            <w:vAlign w:val="center"/>
            <w:tcMar>
              <w:top w:w="60" w:type="dxa"/>
              <w:bottom w:w="60" w:type="dxa"/>
              <w:left w:w="95" w:type="dxa"/>
              <w:right w:w="95" w:type="dxa"/>
            </w:tcMar>
            <w:shd w:fill="FFFFFF"/>
          </w:tcPr>
          <w:p>
            <w:pPr>
              <w:keepNext w:val="0"/>
              <w:spacing w:line="283" w:lineRule="auto" w:after="0"/>
              <w:ind w:firstLine="0"/>
              <w:jc w:val="center"/>
            </w:pPr>
            <w:r>
              <w:rPr>
                <w:b w:val="0"/>
                <w:sz w:val="18"/>
              </w:rPr>
              <w:t>128017–128098</w:t>
            </w:r>
          </w:p>
        </w:tc>
        <w:tc>
          <w:tcPr>
            <w:tcW w:type="dxa" w:w="1984"/>
            <w:vAlign w:val="center"/>
            <w:tcMar>
              <w:top w:w="60" w:type="dxa"/>
              <w:bottom w:w="60" w:type="dxa"/>
              <w:left w:w="95" w:type="dxa"/>
              <w:right w:w="95" w:type="dxa"/>
            </w:tcMar>
            <w:shd w:fill="FFFFFF"/>
          </w:tcPr>
          <w:p>
            <w:pPr>
              <w:keepNext w:val="0"/>
              <w:spacing w:line="283" w:lineRule="auto" w:after="0"/>
              <w:ind w:firstLine="0"/>
              <w:jc w:val="center"/>
            </w:pPr>
            <w:r>
              <w:rPr>
                <w:b w:val="0"/>
                <w:sz w:val="18"/>
              </w:rPr>
              <w:t>128078–128230</w:t>
            </w:r>
          </w:p>
        </w:tc>
        <w:tc>
          <w:tcPr>
            <w:tcW w:type="dxa" w:w="1984"/>
            <w:vAlign w:val="center"/>
            <w:tcMar>
              <w:top w:w="60" w:type="dxa"/>
              <w:bottom w:w="60" w:type="dxa"/>
              <w:left w:w="95" w:type="dxa"/>
              <w:right w:w="95" w:type="dxa"/>
            </w:tcMar>
            <w:shd w:fill="FFFFFF"/>
          </w:tcPr>
          <w:p>
            <w:pPr>
              <w:keepNext w:val="0"/>
              <w:spacing w:line="283" w:lineRule="auto" w:after="0"/>
              <w:ind w:firstLine="0"/>
              <w:jc w:val="center"/>
            </w:pPr>
            <w:r>
              <w:rPr>
                <w:b w:val="0"/>
                <w:sz w:val="18"/>
              </w:rPr>
              <w:t>128166–128243</w:t>
            </w:r>
          </w:p>
        </w:tc>
      </w:tr>
    </w:tbl>
    <w:p>
      <w:pPr>
        <w:spacing w:after="40" w:line="96" w:lineRule="auto"/>
      </w:pPr>
    </w:p>
    <w:p>
      <w:r>
        <w:rPr>
          <w:b w:val="0"/>
        </w:rPr>
        <w:t>这里的对象为收据记录的序列化状态，包含对应封装信息，不能直接等同于论文中的数学向量长度。完整密文已包含HIBE胶囊、混合载荷、IBS内容、一次性认证与公共框架字段，不能以底层ML-DSA或Falcon单个签名大小替代。</w:t>
      </w:r>
    </w:p>
    <w:p>
      <w:r>
        <w:rPr>
          <w:b w:val="0"/>
        </w:rPr>
        <w:t>三组进程树RSS最大观测分别约458.00、457.80、470.43MiB。它们支持说明该批实际运行的资源量级，但不同进程寿命、共享页和短时峰值会影响解释。密文与状态范围来自不同独立根和操作时点，不能把每列最小值拼接成一套真实存在的“最佳系统”。</w:t>
      </w:r>
    </w:p>
    <w:p>
      <w:pPr>
        <w:pStyle w:val="Heading2"/>
      </w:pPr>
      <w:r>
        <w:t>5.5 Luo显式C64B补充</w:t>
      </w:r>
    </w:p>
    <w:p>
      <w:r>
        <w:rPr>
          <w:b w:val="0"/>
        </w:rPr>
        <w:t>另有一组LATTE与Luo-C64B compact的完整运行，采用相同64字节身份和32字节应用消息、3套独立系统状态、9对热运行与9次恢复解密。热加密与解密中位数为0.548812和0.227047秒，完整wire为152225至152269字节，进程树RSS观测494772224字节。[E05]</w:t>
      </w:r>
    </w:p>
    <w:p>
      <w:r>
        <w:rPr>
          <w:b w:val="0"/>
        </w:rPr>
        <w:t>C64B参数为N=256、k=11、l=10、q=274877844481、η=1、κ=64、γ1=190000、γ2=60000000000、γ3=27487784448、dropped_bits=28，Extract与Sign上限各4096。另有固定测试随机源的34项功能验收，不能把这34项重复计为CSPRNG性能样本。该变体加密较默认研究档更慢，结果用于说明参数代价，不宣称加速或新增算法。</w:t>
      </w:r>
    </w:p>
    <w:p>
      <w:pPr>
        <w:pStyle w:val="Heading2"/>
      </w:pPr>
      <w:r>
        <w:t>5.6 同参数部署消融</w:t>
      </w:r>
    </w:p>
    <w:p>
      <w:r>
        <w:rPr>
          <w:b w:val="0"/>
        </w:rPr>
        <w:t>部署实验使用LATTE与BNN/ML-DSA-44完整组合，三路采用同一密码参数、同一三套已生成系统状态和同一原生构建。wheel在Windows和WSL目录中内容相同，仓库源码亦逐文件核对。每个状态按三路轮转并镜像执行，共18个进程块，每块5对操作，每路各30次完整加密与30次解密。[E11]</w:t>
      </w:r>
    </w:p>
    <w:p>
      <w:pPr>
        <w:pStyle w:val="Caption"/>
        <w:keepNext/>
        <w:jc w:val="center"/>
      </w:pPr>
      <w:r>
        <w:t>表6 运行位置消融 时间中位数单位毫秒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984"/>
        <w:gridCol w:w="1984"/>
        <w:gridCol w:w="2041"/>
      </w:tblGrid>
      <w:tr>
        <w:trPr>
          <w:cantSplit/>
          <w:tblHeader/>
        </w:trPr>
        <w:tc>
          <w:tcPr>
            <w:tcW w:type="dxa" w:w="3061"/>
            <w:vAlign w:val="center"/>
            <w:tcMar>
              <w:top w:w="60" w:type="dxa"/>
              <w:bottom w:w="60" w:type="dxa"/>
              <w:left w:w="95" w:type="dxa"/>
              <w:right w:w="95" w:type="dxa"/>
            </w:tcMar>
            <w:shd w:fill="E9EDF0"/>
          </w:tcPr>
          <w:p>
            <w:pPr>
              <w:keepNext/>
              <w:spacing w:line="283" w:lineRule="auto" w:after="0"/>
              <w:ind w:firstLine="0"/>
              <w:jc w:val="center"/>
            </w:pPr>
            <w:r>
              <w:rPr>
                <w:b/>
                <w:sz w:val="18"/>
              </w:rPr>
              <w:t>运行位置</w:t>
            </w:r>
          </w:p>
        </w:tc>
        <w:tc>
          <w:tcPr>
            <w:tcW w:type="dxa" w:w="1984"/>
            <w:vAlign w:val="center"/>
            <w:tcMar>
              <w:top w:w="60" w:type="dxa"/>
              <w:bottom w:w="60" w:type="dxa"/>
              <w:left w:w="95" w:type="dxa"/>
              <w:right w:w="95" w:type="dxa"/>
            </w:tcMar>
            <w:shd w:fill="E9EDF0"/>
          </w:tcPr>
          <w:p>
            <w:pPr>
              <w:keepNext/>
              <w:spacing w:line="283" w:lineRule="auto" w:after="0"/>
              <w:ind w:firstLine="0"/>
              <w:jc w:val="center"/>
            </w:pPr>
            <w:r>
              <w:rPr>
                <w:b/>
                <w:sz w:val="18"/>
              </w:rPr>
              <w:t>完整加密</w:t>
            </w:r>
          </w:p>
        </w:tc>
        <w:tc>
          <w:tcPr>
            <w:tcW w:type="dxa" w:w="1984"/>
            <w:vAlign w:val="center"/>
            <w:tcMar>
              <w:top w:w="60" w:type="dxa"/>
              <w:bottom w:w="60" w:type="dxa"/>
              <w:left w:w="95" w:type="dxa"/>
              <w:right w:w="95" w:type="dxa"/>
            </w:tcMar>
            <w:shd w:fill="E9EDF0"/>
          </w:tcPr>
          <w:p>
            <w:pPr>
              <w:keepNext/>
              <w:spacing w:line="283" w:lineRule="auto" w:after="0"/>
              <w:ind w:firstLine="0"/>
              <w:jc w:val="center"/>
            </w:pPr>
            <w:r>
              <w:rPr>
                <w:b/>
                <w:sz w:val="18"/>
              </w:rPr>
              <w:t>完整解密</w:t>
            </w:r>
          </w:p>
        </w:tc>
        <w:tc>
          <w:tcPr>
            <w:tcW w:type="dxa" w:w="2041"/>
            <w:vAlign w:val="center"/>
            <w:tcMar>
              <w:top w:w="60" w:type="dxa"/>
              <w:bottom w:w="60" w:type="dxa"/>
              <w:left w:w="95" w:type="dxa"/>
              <w:right w:w="95" w:type="dxa"/>
            </w:tcMar>
            <w:shd w:fill="E9EDF0"/>
          </w:tcPr>
          <w:p>
            <w:pPr>
              <w:keepNext/>
              <w:spacing w:line="283" w:lineRule="auto" w:after="0"/>
              <w:ind w:firstLine="0"/>
              <w:jc w:val="center"/>
            </w:pPr>
            <w:r>
              <w:rPr>
                <w:b/>
                <w:sz w:val="18"/>
              </w:rPr>
              <w:t>每项观察次数</w:t>
            </w:r>
          </w:p>
        </w:tc>
      </w:tr>
      <w:tr>
        <w:trPr>
          <w:cantSplit/>
        </w:trPr>
        <w:tc>
          <w:tcPr>
            <w:tcW w:type="dxa" w:w="3061"/>
            <w:vAlign w:val="center"/>
            <w:tcMar>
              <w:top w:w="60" w:type="dxa"/>
              <w:bottom w:w="60" w:type="dxa"/>
              <w:left w:w="95" w:type="dxa"/>
              <w:right w:w="95" w:type="dxa"/>
            </w:tcMar>
            <w:shd w:fill="FFFFFF"/>
          </w:tcPr>
          <w:p>
            <w:pPr>
              <w:keepNext/>
              <w:spacing w:line="283" w:lineRule="auto" w:after="0"/>
              <w:ind w:firstLine="0"/>
            </w:pPr>
            <w:r>
              <w:rPr>
                <w:b w:val="0"/>
                <w:sz w:val="18"/>
              </w:rPr>
              <w:t>Windows仓库源码</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206.087</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258.640</w:t>
            </w:r>
          </w:p>
        </w:tc>
        <w:tc>
          <w:tcPr>
            <w:tcW w:type="dxa" w:w="2041"/>
            <w:vAlign w:val="center"/>
            <w:tcMar>
              <w:top w:w="60" w:type="dxa"/>
              <w:bottom w:w="60" w:type="dxa"/>
              <w:left w:w="95" w:type="dxa"/>
              <w:right w:w="95" w:type="dxa"/>
            </w:tcMar>
            <w:shd w:fill="FFFFFF"/>
          </w:tcPr>
          <w:p>
            <w:pPr>
              <w:keepNext/>
              <w:spacing w:line="283" w:lineRule="auto" w:after="0"/>
              <w:ind w:firstLine="0"/>
              <w:jc w:val="center"/>
            </w:pPr>
            <w:r>
              <w:rPr>
                <w:b w:val="0"/>
                <w:sz w:val="18"/>
              </w:rPr>
              <w:t>30</w:t>
            </w:r>
          </w:p>
        </w:tc>
      </w:tr>
      <w:tr>
        <w:trPr>
          <w:cantSplit/>
        </w:trPr>
        <w:tc>
          <w:tcPr>
            <w:tcW w:type="dxa" w:w="3061"/>
            <w:vAlign w:val="center"/>
            <w:tcMar>
              <w:top w:w="60" w:type="dxa"/>
              <w:bottom w:w="60" w:type="dxa"/>
              <w:left w:w="95" w:type="dxa"/>
              <w:right w:w="95" w:type="dxa"/>
            </w:tcMar>
            <w:shd w:fill="FFFFFF"/>
          </w:tcPr>
          <w:p>
            <w:pPr>
              <w:keepNext/>
              <w:spacing w:line="283" w:lineRule="auto" w:after="0"/>
              <w:ind w:firstLine="0"/>
            </w:pPr>
            <w:r>
              <w:rPr>
                <w:b w:val="0"/>
                <w:sz w:val="18"/>
              </w:rPr>
              <w:t>Windows同一wheel</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195.310</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250.577</w:t>
            </w:r>
          </w:p>
        </w:tc>
        <w:tc>
          <w:tcPr>
            <w:tcW w:type="dxa" w:w="2041"/>
            <w:vAlign w:val="center"/>
            <w:tcMar>
              <w:top w:w="60" w:type="dxa"/>
              <w:bottom w:w="60" w:type="dxa"/>
              <w:left w:w="95" w:type="dxa"/>
              <w:right w:w="95" w:type="dxa"/>
            </w:tcMar>
            <w:shd w:fill="FFFFFF"/>
          </w:tcPr>
          <w:p>
            <w:pPr>
              <w:keepNext/>
              <w:spacing w:line="283" w:lineRule="auto" w:after="0"/>
              <w:ind w:firstLine="0"/>
              <w:jc w:val="center"/>
            </w:pPr>
            <w:r>
              <w:rPr>
                <w:b w:val="0"/>
                <w:sz w:val="18"/>
              </w:rPr>
              <w:t>30</w:t>
            </w:r>
          </w:p>
        </w:tc>
      </w:tr>
      <w:tr>
        <w:trPr>
          <w:cantSplit/>
        </w:trPr>
        <w:tc>
          <w:tcPr>
            <w:tcW w:type="dxa" w:w="3061"/>
            <w:vAlign w:val="center"/>
            <w:tcMar>
              <w:top w:w="60" w:type="dxa"/>
              <w:bottom w:w="60" w:type="dxa"/>
              <w:left w:w="95" w:type="dxa"/>
              <w:right w:w="95" w:type="dxa"/>
            </w:tcMar>
            <w:shd w:fill="FFFFFF"/>
          </w:tcPr>
          <w:p>
            <w:pPr>
              <w:keepNext w:val="0"/>
              <w:spacing w:line="283" w:lineRule="auto" w:after="0"/>
              <w:ind w:firstLine="0"/>
            </w:pPr>
            <w:r>
              <w:rPr>
                <w:b w:val="0"/>
                <w:sz w:val="18"/>
              </w:rPr>
              <w:t>WSL同一wheel</w:t>
            </w:r>
          </w:p>
        </w:tc>
        <w:tc>
          <w:tcPr>
            <w:tcW w:type="dxa" w:w="1984"/>
            <w:vAlign w:val="center"/>
            <w:tcMar>
              <w:top w:w="60" w:type="dxa"/>
              <w:bottom w:w="60" w:type="dxa"/>
              <w:left w:w="95" w:type="dxa"/>
              <w:right w:w="95" w:type="dxa"/>
            </w:tcMar>
            <w:shd w:fill="FFFFFF"/>
          </w:tcPr>
          <w:p>
            <w:pPr>
              <w:keepNext w:val="0"/>
              <w:spacing w:line="283" w:lineRule="auto" w:after="0"/>
              <w:ind w:firstLine="0"/>
              <w:jc w:val="center"/>
            </w:pPr>
            <w:r>
              <w:rPr>
                <w:b w:val="0"/>
                <w:sz w:val="18"/>
              </w:rPr>
              <w:t>10.921</w:t>
            </w:r>
          </w:p>
        </w:tc>
        <w:tc>
          <w:tcPr>
            <w:tcW w:type="dxa" w:w="1984"/>
            <w:vAlign w:val="center"/>
            <w:tcMar>
              <w:top w:w="60" w:type="dxa"/>
              <w:bottom w:w="60" w:type="dxa"/>
              <w:left w:w="95" w:type="dxa"/>
              <w:right w:w="95" w:type="dxa"/>
            </w:tcMar>
            <w:shd w:fill="FFFFFF"/>
          </w:tcPr>
          <w:p>
            <w:pPr>
              <w:keepNext w:val="0"/>
              <w:spacing w:line="283" w:lineRule="auto" w:after="0"/>
              <w:ind w:firstLine="0"/>
              <w:jc w:val="center"/>
            </w:pPr>
            <w:r>
              <w:rPr>
                <w:b w:val="0"/>
                <w:sz w:val="18"/>
              </w:rPr>
              <w:t>56.360</w:t>
            </w:r>
          </w:p>
        </w:tc>
        <w:tc>
          <w:tcPr>
            <w:tcW w:type="dxa" w:w="2041"/>
            <w:vAlign w:val="center"/>
            <w:tcMar>
              <w:top w:w="60" w:type="dxa"/>
              <w:bottom w:w="60" w:type="dxa"/>
              <w:left w:w="95" w:type="dxa"/>
              <w:right w:w="95" w:type="dxa"/>
            </w:tcMar>
            <w:shd w:fill="FFFFFF"/>
          </w:tcPr>
          <w:p>
            <w:pPr>
              <w:keepNext w:val="0"/>
              <w:spacing w:line="283" w:lineRule="auto" w:after="0"/>
              <w:ind w:firstLine="0"/>
              <w:jc w:val="center"/>
            </w:pPr>
            <w:r>
              <w:rPr>
                <w:b w:val="0"/>
                <w:sz w:val="18"/>
              </w:rPr>
              <w:t>30</w:t>
            </w:r>
          </w:p>
        </w:tc>
      </w:tr>
    </w:tbl>
    <w:p>
      <w:pPr>
        <w:spacing w:after="40" w:line="96" w:lineRule="auto"/>
      </w:pPr>
    </w:p>
    <w:p>
      <w:pPr>
        <w:keepNext/>
        <w:ind w:firstLine="0"/>
        <w:jc w:val="center"/>
      </w:pPr>
      <w:r>
        <w:drawing>
          <wp:inline xmlns:a="http://schemas.openxmlformats.org/drawingml/2006/main" xmlns:pic="http://schemas.openxmlformats.org/drawingml/2006/picture">
            <wp:extent cx="5760000" cy="2317781"/>
            <wp:docPr id="5" name="Picture 5"/>
            <wp:cNvGraphicFramePr>
              <a:graphicFrameLocks noChangeAspect="1"/>
            </wp:cNvGraphicFramePr>
            <a:graphic>
              <a:graphicData uri="http://schemas.openxmlformats.org/drawingml/2006/picture">
                <pic:pic>
                  <pic:nvPicPr>
                    <pic:cNvPr id="0" name="placement.png"/>
                    <pic:cNvPicPr/>
                  </pic:nvPicPr>
                  <pic:blipFill>
                    <a:blip r:embed="rId15"/>
                    <a:stretch>
                      <a:fillRect/>
                    </a:stretch>
                  </pic:blipFill>
                  <pic:spPr>
                    <a:xfrm>
                      <a:off x="0" y="0"/>
                      <a:ext cx="5760000" cy="2317781"/>
                    </a:xfrm>
                    <a:prstGeom prst="rect"/>
                  </pic:spPr>
                </pic:pic>
              </a:graphicData>
            </a:graphic>
          </wp:inline>
        </w:drawing>
      </w:r>
    </w:p>
    <w:p>
      <w:pPr>
        <w:pStyle w:val="Caption"/>
        <w:keepNext w:val="0"/>
        <w:jc w:val="center"/>
      </w:pPr>
      <w:r>
        <w:t>图5 同参数完整系统部署消融</w:t>
      </w:r>
    </w:p>
    <w:p>
      <w:r>
        <w:rPr>
          <w:b w:val="0"/>
        </w:rPr>
        <w:t>从同一wheel在两个位置的差异，以及Windows源码与Windows wheel差异较小的结果，可以判断本机主要收益来自运行位置改变。相对Windows源码，WSL副本完整加密与解密约为原来的1/18.87和1/4.59。该实验不降低参数，不减少完整校验，不共享秘密随机性，也不省去wire编解码与原生进程启动。</w:t>
      </w:r>
    </w:p>
    <w:p>
      <w:r>
        <w:rPr>
          <w:b w:val="0"/>
        </w:rPr>
        <w:t>计时包含公共输入与密钥检查、签验、Hybrid、BYTEAUTH、完整密文编码加载及原生调用。导入、Setup、持久化、恢复和独立计数诊断在热计时之外。每个块的独立诊断中，每对操作均有6次完整源码核对、15次原生调用及5次熵读取，共65644字节。正式批次完整密文范围142036至142153字节，不能替换成前一基线批次的范围。</w:t>
      </w:r>
    </w:p>
    <w:p>
      <w:r>
        <w:rPr>
          <w:b w:val="0"/>
        </w:rPr>
        <w:t>30次观察共享3套根，不构成30套独立密钥样本。该批内存采用worker进程寿命内核高水位，自身约228.10至229.45MiB，口径不同于上一节的进程树采样；因此不作内存下降结论。该结果也不能外推为其他机器、其他后端或冷启动均有相同提速。</w:t>
      </w:r>
    </w:p>
    <w:p>
      <w:pPr>
        <w:pStyle w:val="Heading2"/>
      </w:pPr>
      <w:r>
        <w:t>5.7 SRGG单体编码实验</w:t>
      </w:r>
    </w:p>
    <w:p>
      <w:r>
        <w:rPr>
          <w:b w:val="0"/>
        </w:rPr>
        <w:t>SRGG单体实验使用Core Ultra7 255HX、Sage10.9、Python3.13.15、OMP和OpenBLAS各1线程，与完整系统基线机器不同。三档论文参数均为n=512、p=16383、b=31、w=2、Q=15744063，rank分别2、3、4，采用表格标准差解释。每档3个独立根，共9次生成和18个恢复worker；495项功能检查、54次签名与72次显式验证归档于E07。</w:t>
      </w:r>
    </w:p>
    <w:p>
      <w:pPr>
        <w:pStyle w:val="Caption"/>
        <w:keepNext/>
        <w:jc w:val="center"/>
      </w:pPr>
      <w:r>
        <w:t>表7 SRGG签名无损编码尺寸中位数 单位字节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984"/>
        <w:gridCol w:w="1984"/>
        <w:gridCol w:w="2041"/>
      </w:tblGrid>
      <w:tr>
        <w:trPr>
          <w:cantSplit/>
          <w:tblHeader/>
        </w:trPr>
        <w:tc>
          <w:tcPr>
            <w:tcW w:type="dxa" w:w="3061"/>
            <w:vAlign w:val="center"/>
            <w:tcMar>
              <w:top w:w="60" w:type="dxa"/>
              <w:bottom w:w="60" w:type="dxa"/>
              <w:left w:w="95" w:type="dxa"/>
              <w:right w:w="95" w:type="dxa"/>
            </w:tcMar>
            <w:shd w:fill="E9EDF0"/>
          </w:tcPr>
          <w:p>
            <w:pPr>
              <w:keepNext/>
              <w:spacing w:line="283" w:lineRule="auto" w:after="0"/>
              <w:ind w:firstLine="0"/>
              <w:jc w:val="center"/>
            </w:pPr>
            <w:r>
              <w:rPr>
                <w:b/>
                <w:sz w:val="18"/>
              </w:rPr>
              <w:t>论文参数档</w:t>
            </w:r>
          </w:p>
        </w:tc>
        <w:tc>
          <w:tcPr>
            <w:tcW w:type="dxa" w:w="1984"/>
            <w:vAlign w:val="center"/>
            <w:tcMar>
              <w:top w:w="60" w:type="dxa"/>
              <w:bottom w:w="60" w:type="dxa"/>
              <w:left w:w="95" w:type="dxa"/>
              <w:right w:w="95" w:type="dxa"/>
            </w:tcMar>
            <w:shd w:fill="E9EDF0"/>
          </w:tcPr>
          <w:p>
            <w:pPr>
              <w:keepNext/>
              <w:spacing w:line="283" w:lineRule="auto" w:after="0"/>
              <w:ind w:firstLine="0"/>
              <w:jc w:val="center"/>
            </w:pPr>
            <w:r>
              <w:rPr>
                <w:b/>
                <w:sz w:val="18"/>
              </w:rPr>
              <w:t>原JSON</w:t>
            </w:r>
          </w:p>
        </w:tc>
        <w:tc>
          <w:tcPr>
            <w:tcW w:type="dxa" w:w="1984"/>
            <w:vAlign w:val="center"/>
            <w:tcMar>
              <w:top w:w="60" w:type="dxa"/>
              <w:bottom w:w="60" w:type="dxa"/>
              <w:left w:w="95" w:type="dxa"/>
              <w:right w:w="95" w:type="dxa"/>
            </w:tcMar>
            <w:shd w:fill="E9EDF0"/>
          </w:tcPr>
          <w:p>
            <w:pPr>
              <w:keepNext/>
              <w:spacing w:line="283" w:lineRule="auto" w:after="0"/>
              <w:ind w:firstLine="0"/>
              <w:jc w:val="center"/>
            </w:pPr>
            <w:r>
              <w:rPr>
                <w:b/>
                <w:sz w:val="18"/>
              </w:rPr>
              <w:t>compact</w:t>
            </w:r>
          </w:p>
        </w:tc>
        <w:tc>
          <w:tcPr>
            <w:tcW w:type="dxa" w:w="2041"/>
            <w:vAlign w:val="center"/>
            <w:tcMar>
              <w:top w:w="60" w:type="dxa"/>
              <w:bottom w:w="60" w:type="dxa"/>
              <w:left w:w="95" w:type="dxa"/>
              <w:right w:w="95" w:type="dxa"/>
            </w:tcMar>
            <w:shd w:fill="E9EDF0"/>
          </w:tcPr>
          <w:p>
            <w:pPr>
              <w:keepNext/>
              <w:spacing w:line="283" w:lineRule="auto" w:after="0"/>
              <w:ind w:firstLine="0"/>
              <w:jc w:val="center"/>
            </w:pPr>
            <w:r>
              <w:rPr>
                <w:b/>
                <w:sz w:val="18"/>
              </w:rPr>
              <w:t>说明</w:t>
            </w:r>
          </w:p>
        </w:tc>
      </w:tr>
      <w:tr>
        <w:trPr>
          <w:cantSplit/>
        </w:trPr>
        <w:tc>
          <w:tcPr>
            <w:tcW w:type="dxa" w:w="3061"/>
            <w:vAlign w:val="center"/>
            <w:tcMar>
              <w:top w:w="60" w:type="dxa"/>
              <w:bottom w:w="60" w:type="dxa"/>
              <w:left w:w="95" w:type="dxa"/>
              <w:right w:w="95" w:type="dxa"/>
            </w:tcMar>
            <w:shd w:fill="FFFFFF"/>
          </w:tcPr>
          <w:p>
            <w:pPr>
              <w:keepNext/>
              <w:spacing w:line="283" w:lineRule="auto" w:after="0"/>
              <w:ind w:firstLine="0"/>
            </w:pPr>
            <w:r>
              <w:rPr>
                <w:b w:val="0"/>
                <w:sz w:val="18"/>
              </w:rPr>
              <w:t>PARAM I</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35368</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13400</w:t>
            </w:r>
          </w:p>
        </w:tc>
        <w:tc>
          <w:tcPr>
            <w:tcW w:type="dxa" w:w="2041"/>
            <w:vAlign w:val="center"/>
            <w:tcMar>
              <w:top w:w="60" w:type="dxa"/>
              <w:bottom w:w="60" w:type="dxa"/>
              <w:left w:w="95" w:type="dxa"/>
              <w:right w:w="95" w:type="dxa"/>
            </w:tcMar>
            <w:shd w:fill="FFFFFF"/>
          </w:tcPr>
          <w:p>
            <w:pPr>
              <w:keepNext/>
              <w:spacing w:line="283" w:lineRule="auto" w:after="0"/>
              <w:ind w:firstLine="0"/>
              <w:jc w:val="center"/>
            </w:pPr>
            <w:r>
              <w:rPr>
                <w:b w:val="0"/>
                <w:sz w:val="18"/>
              </w:rPr>
              <w:t>同一签名对象的两种表示</w:t>
            </w:r>
          </w:p>
        </w:tc>
      </w:tr>
      <w:tr>
        <w:trPr>
          <w:cantSplit/>
        </w:trPr>
        <w:tc>
          <w:tcPr>
            <w:tcW w:type="dxa" w:w="3061"/>
            <w:vAlign w:val="center"/>
            <w:tcMar>
              <w:top w:w="60" w:type="dxa"/>
              <w:bottom w:w="60" w:type="dxa"/>
              <w:left w:w="95" w:type="dxa"/>
              <w:right w:w="95" w:type="dxa"/>
            </w:tcMar>
            <w:shd w:fill="FFFFFF"/>
          </w:tcPr>
          <w:p>
            <w:pPr>
              <w:keepNext/>
              <w:spacing w:line="283" w:lineRule="auto" w:after="0"/>
              <w:ind w:firstLine="0"/>
            </w:pPr>
            <w:r>
              <w:rPr>
                <w:b w:val="0"/>
                <w:sz w:val="18"/>
              </w:rPr>
              <w:t>PARAM II</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51117</w:t>
            </w:r>
          </w:p>
        </w:tc>
        <w:tc>
          <w:tcPr>
            <w:tcW w:type="dxa" w:w="1984"/>
            <w:vAlign w:val="center"/>
            <w:tcMar>
              <w:top w:w="60" w:type="dxa"/>
              <w:bottom w:w="60" w:type="dxa"/>
              <w:left w:w="95" w:type="dxa"/>
              <w:right w:w="95" w:type="dxa"/>
            </w:tcMar>
            <w:shd w:fill="FFFFFF"/>
          </w:tcPr>
          <w:p>
            <w:pPr>
              <w:keepNext/>
              <w:spacing w:line="283" w:lineRule="auto" w:after="0"/>
              <w:ind w:firstLine="0"/>
              <w:jc w:val="center"/>
            </w:pPr>
            <w:r>
              <w:rPr>
                <w:b w:val="0"/>
                <w:sz w:val="18"/>
              </w:rPr>
              <w:t>19288</w:t>
            </w:r>
          </w:p>
        </w:tc>
        <w:tc>
          <w:tcPr>
            <w:tcW w:type="dxa" w:w="2041"/>
            <w:vAlign w:val="center"/>
            <w:tcMar>
              <w:top w:w="60" w:type="dxa"/>
              <w:bottom w:w="60" w:type="dxa"/>
              <w:left w:w="95" w:type="dxa"/>
              <w:right w:w="95" w:type="dxa"/>
            </w:tcMar>
            <w:shd w:fill="FFFFFF"/>
          </w:tcPr>
          <w:p>
            <w:pPr>
              <w:keepNext/>
              <w:spacing w:line="283" w:lineRule="auto" w:after="0"/>
              <w:ind w:firstLine="0"/>
              <w:jc w:val="center"/>
            </w:pPr>
            <w:r>
              <w:rPr>
                <w:b w:val="0"/>
                <w:sz w:val="18"/>
              </w:rPr>
              <w:t>同上</w:t>
            </w:r>
          </w:p>
        </w:tc>
      </w:tr>
      <w:tr>
        <w:trPr>
          <w:cantSplit/>
        </w:trPr>
        <w:tc>
          <w:tcPr>
            <w:tcW w:type="dxa" w:w="3061"/>
            <w:vAlign w:val="center"/>
            <w:tcMar>
              <w:top w:w="60" w:type="dxa"/>
              <w:bottom w:w="60" w:type="dxa"/>
              <w:left w:w="95" w:type="dxa"/>
              <w:right w:w="95" w:type="dxa"/>
            </w:tcMar>
            <w:shd w:fill="FFFFFF"/>
          </w:tcPr>
          <w:p>
            <w:pPr>
              <w:keepNext w:val="0"/>
              <w:spacing w:line="283" w:lineRule="auto" w:after="0"/>
              <w:ind w:firstLine="0"/>
            </w:pPr>
            <w:r>
              <w:rPr>
                <w:b w:val="0"/>
                <w:sz w:val="18"/>
              </w:rPr>
              <w:t>PARAM III</w:t>
            </w:r>
          </w:p>
        </w:tc>
        <w:tc>
          <w:tcPr>
            <w:tcW w:type="dxa" w:w="1984"/>
            <w:vAlign w:val="center"/>
            <w:tcMar>
              <w:top w:w="60" w:type="dxa"/>
              <w:bottom w:w="60" w:type="dxa"/>
              <w:left w:w="95" w:type="dxa"/>
              <w:right w:w="95" w:type="dxa"/>
            </w:tcMar>
            <w:shd w:fill="FFFFFF"/>
          </w:tcPr>
          <w:p>
            <w:pPr>
              <w:keepNext w:val="0"/>
              <w:spacing w:line="283" w:lineRule="auto" w:after="0"/>
              <w:ind w:firstLine="0"/>
              <w:jc w:val="center"/>
            </w:pPr>
            <w:r>
              <w:rPr>
                <w:b w:val="0"/>
                <w:sz w:val="18"/>
              </w:rPr>
              <w:t>67076</w:t>
            </w:r>
          </w:p>
        </w:tc>
        <w:tc>
          <w:tcPr>
            <w:tcW w:type="dxa" w:w="1984"/>
            <w:vAlign w:val="center"/>
            <w:tcMar>
              <w:top w:w="60" w:type="dxa"/>
              <w:bottom w:w="60" w:type="dxa"/>
              <w:left w:w="95" w:type="dxa"/>
              <w:right w:w="95" w:type="dxa"/>
            </w:tcMar>
            <w:shd w:fill="FFFFFF"/>
          </w:tcPr>
          <w:p>
            <w:pPr>
              <w:keepNext w:val="0"/>
              <w:spacing w:line="283" w:lineRule="auto" w:after="0"/>
              <w:ind w:firstLine="0"/>
              <w:jc w:val="center"/>
            </w:pPr>
            <w:r>
              <w:rPr>
                <w:b w:val="0"/>
                <w:sz w:val="18"/>
              </w:rPr>
              <w:t>26264</w:t>
            </w:r>
          </w:p>
        </w:tc>
        <w:tc>
          <w:tcPr>
            <w:tcW w:type="dxa" w:w="2041"/>
            <w:vAlign w:val="center"/>
            <w:tcMar>
              <w:top w:w="60" w:type="dxa"/>
              <w:bottom w:w="60" w:type="dxa"/>
              <w:left w:w="95" w:type="dxa"/>
              <w:right w:w="95" w:type="dxa"/>
            </w:tcMar>
            <w:shd w:fill="FFFFFF"/>
          </w:tcPr>
          <w:p>
            <w:pPr>
              <w:keepNext w:val="0"/>
              <w:spacing w:line="283" w:lineRule="auto" w:after="0"/>
              <w:ind w:firstLine="0"/>
              <w:jc w:val="center"/>
            </w:pPr>
            <w:r>
              <w:rPr>
                <w:b w:val="0"/>
                <w:sz w:val="18"/>
              </w:rPr>
              <w:t>同上</w:t>
            </w:r>
          </w:p>
        </w:tc>
      </w:tr>
    </w:tbl>
    <w:p>
      <w:pPr>
        <w:spacing w:after="40" w:line="96" w:lineRule="auto"/>
      </w:pPr>
    </w:p>
    <w:p>
      <w:r>
        <w:rPr>
          <w:b w:val="0"/>
        </w:rPr>
        <w:t>编码前后没有修改签名方程、采样、参数或默认服务。文件变小带来传输与落盘收益，但完整API可能因编码增加耗时。该实验尚无真实HIBE配对，不能将表7差值直接从完整IBME密文中扣除，亦不能将单体时间与另一台机器上的完整系统时间排序。</w:t>
      </w:r>
    </w:p>
    <w:p>
      <w:pPr>
        <w:pStyle w:val="Heading2"/>
      </w:pPr>
      <w:r>
        <w:t>5.8 局限与待补实验</w:t>
      </w:r>
    </w:p>
    <w:p>
      <w:r>
        <w:rPr>
          <w:b w:val="0"/>
        </w:rPr>
        <w:t>当前完整重复基线只使用32字节应用消息，不能据此声称已经评测所有消息长度或满容量场景。下一版应针对最终主展示配置，先预检容量，再按需要补1KiB及边界输入，避免对所有历史参数进行无目的重跑。当前用户数也受LATTE两父、每父两子的配置限制，大规模并发和多写者一致性未在本稿验证。</w:t>
      </w:r>
    </w:p>
    <w:p>
      <w:r>
        <w:rPr>
          <w:b w:val="0"/>
        </w:rPr>
        <w:t>待接收的HIBE成果应先完成一次真实组合生命周期和恢复，再决定是否纳入同条件测量。安全目标不同的配置可分别展示成本和用途，但最终选择理由必须对应真实优势及其代价，不能仅凭“低通信”“高频”“多用户”标签指定赢家。</w:t>
      </w:r>
    </w:p>
    <w:p>
      <w:pPr>
        <w:pStyle w:val="Heading1"/>
        <w:pageBreakBefore/>
      </w:pPr>
      <w:r>
        <w:t>第6章 应用展示与技术贡献</w:t>
      </w:r>
    </w:p>
    <w:p>
      <w:pPr>
        <w:pStyle w:val="Heading2"/>
      </w:pPr>
      <w:r>
        <w:t>6.1 原型使用流程</w:t>
      </w:r>
    </w:p>
    <w:p>
      <w:r>
        <w:rPr>
          <w:b w:val="0"/>
        </w:rPr>
        <w:t>网页入口复用公共API，提供已验收三组预设。演示先展示实际算法、参数、身份长度与状态，再由机构生成系统和双方密钥；发送者指定接收身份并加密，接收者指定期望发送身份后解密。随后分别修改发送身份、接收身份和密文字节，观察明确拒绝。页面导出的结果来自实际执行，不使用预填耗时冒充测量。[E12]</w:t>
      </w:r>
    </w:p>
    <w:p>
      <w:pPr>
        <w:keepNext/>
        <w:ind w:firstLine="0"/>
        <w:jc w:val="center"/>
      </w:pPr>
      <w:r>
        <w:drawing>
          <wp:inline xmlns:a="http://schemas.openxmlformats.org/drawingml/2006/main" xmlns:pic="http://schemas.openxmlformats.org/drawingml/2006/picture">
            <wp:extent cx="4752000" cy="5051960"/>
            <wp:docPr id="6" name="Picture 6"/>
            <wp:cNvGraphicFramePr>
              <a:graphicFrameLocks noChangeAspect="1"/>
            </wp:cNvGraphicFramePr>
            <a:graphic>
              <a:graphicData uri="http://schemas.openxmlformats.org/drawingml/2006/picture">
                <pic:pic>
                  <pic:nvPicPr>
                    <pic:cNvPr id="0" name="demo-success-detail.png"/>
                    <pic:cNvPicPr/>
                  </pic:nvPicPr>
                  <pic:blipFill>
                    <a:blip r:embed="rId16"/>
                    <a:stretch>
                      <a:fillRect/>
                    </a:stretch>
                  </pic:blipFill>
                  <pic:spPr>
                    <a:xfrm>
                      <a:off x="0" y="0"/>
                      <a:ext cx="4752000" cy="5051960"/>
                    </a:xfrm>
                    <a:prstGeom prst="rect"/>
                  </pic:spPr>
                </pic:pic>
              </a:graphicData>
            </a:graphic>
          </wp:inline>
        </w:drawing>
      </w:r>
    </w:p>
    <w:p>
      <w:pPr>
        <w:pStyle w:val="Caption"/>
        <w:keepNext w:val="0"/>
        <w:jc w:val="center"/>
      </w:pPr>
      <w:r>
        <w:t>图6 已归档的合法匹配演示截图局部</w:t>
      </w:r>
    </w:p>
    <w:p>
      <w:r>
        <w:rPr>
          <w:b w:val="0"/>
        </w:rPr>
        <w:t>图6从2026年10月18日验收原图裁取加密与合法匹配区域，未改动其中内容，不是本次重新运行截图。截图用于说明应用流程，截图中的单次耗时不替代第5章重复实验。</w:t>
      </w:r>
    </w:p>
    <w:p>
      <w:r>
        <w:rPr>
          <w:b w:val="0"/>
        </w:rPr>
        <w:t>命令行提供独立持久状态与恢复流程，可在新进程中加载原状态继续解密。网页为单个临时会话，服务重启后需重新建立；这两个入口的状态能力分别解释。网页当前只展示LATTE组合，不能据此宣称所有13个研究后端均可在界面任意切换。</w:t>
      </w:r>
    </w:p>
    <w:p>
      <w:pPr>
        <w:pStyle w:val="Heading2"/>
      </w:pPr>
      <w:r>
        <w:t>6.2 模块化实例化贡献</w:t>
      </w:r>
    </w:p>
    <w:p>
      <w:r>
        <w:rPr>
          <w:b w:val="0"/>
        </w:rPr>
        <w:t>作品把原语选参、对象编码与公共协议装配分开，使同一双向匹配流程可以复用不同IBS。真实结果包含认证转换型与原生模格IBS的完整系统，以及其他研究后端的独立实现。其价值在于把多篇论文方案整理成具有共同契约、容量预检与可比较收据的原型，而不是把算法名称放入一个未实现的下拉框。</w:t>
      </w:r>
    </w:p>
    <w:p>
      <w:r>
        <w:rPr>
          <w:b w:val="0"/>
        </w:rPr>
        <w:t>支撑材料为公共接口、真实接线验收、三组参数卡和完整系统收据。当前代价包括原生依赖、不同输入上限及研究参数限制；单体后端向默认入口的接入仍有欠项。该贡献属于系统设计和实现，理论构造按文献署名。</w:t>
      </w:r>
    </w:p>
    <w:p>
      <w:pPr>
        <w:pStyle w:val="Heading2"/>
      </w:pPr>
      <w:r>
        <w:t>6.3 完整流程与状态可靠性贡献</w:t>
      </w:r>
    </w:p>
    <w:p>
      <w:r>
        <w:rPr>
          <w:b w:val="0"/>
        </w:rPr>
        <w:t>论文中的一次诚实加解密不直接给出软件重启、重复发钥、配置混用和非规范wire的处理。作品通过规范编码、内部承诺与外部一次性认证、固定身份状态和提交后发布机制，将这些条件形成可检查行为。</w:t>
      </w:r>
    </w:p>
    <w:p>
      <w:r>
        <w:rPr>
          <w:b w:val="0"/>
        </w:rPr>
        <w:t>对应证据包含四种身份组合、实际完整wire篡改、固定状态加载和新进程零熵恢复。代价是额外密文字段、一次性签名尺寸、持久状态与实现复杂度。相关测试说明实现行为，理论安全依据仍按第2章引用和工作假设解释。</w:t>
      </w:r>
    </w:p>
    <w:p>
      <w:pPr>
        <w:pStyle w:val="Heading2"/>
      </w:pPr>
      <w:r>
        <w:t>6.4 资源与实现优化贡献</w:t>
      </w:r>
    </w:p>
    <w:p>
      <w:r>
        <w:rPr>
          <w:b w:val="0"/>
        </w:rPr>
        <w:t>完整系统剖析识别了原生适配器内容校验在跨文件系统访问中的实际成本。保持校验和密码工作后，采用固定wheel的WSL副本取得完整API改进，并通过Windows wheel消融区分“打包”与“位置”两项因素。这一结果具有明确输入、样本组织、版本和计时边界，可按公开工具复核。[E11]</w:t>
      </w:r>
    </w:p>
    <w:p>
      <w:r>
        <w:rPr>
          <w:b w:val="0"/>
        </w:rPr>
        <w:t>SRGG无损编码与CHKP高基数组件分别提供存储表示和资源可行性方面的研究结果。它们与上述完整系统优化处在不同层级：SRGG未配对，高基数组件未形成完整公共后端，目标规模仅有投影。本文保留这些实物与限制，不将它们合并成一个没有测量依据的“联合加速倍数”。</w:t>
      </w:r>
    </w:p>
    <w:p>
      <w:pPr>
        <w:pStyle w:val="Heading1"/>
        <w:pageBreakBefore/>
      </w:pPr>
      <w:r>
        <w:t>第7章 总结与后续工作</w:t>
      </w:r>
    </w:p>
    <w:p>
      <w:r>
        <w:rPr>
          <w:b w:val="0"/>
        </w:rPr>
        <w:t>本作品已实现两层HIBE与IBS共同装配的IBME研究框架，形成3种HIBE和10种IBS的独立完整研究后端，并完成多个真实配对。当前重点三组LATTE完整组合具有重复加解密、持久状态、恢复、尺寸和资源收据；网页与CLI均有实际验收。完整系统部署消融说明，在相同密码配置下消除本机文件访问热点，可以明显降低热操作耗时。</w:t>
      </w:r>
    </w:p>
    <w:p>
      <w:r>
        <w:rPr>
          <w:b w:val="0"/>
        </w:rPr>
        <w:t>下一版研究报告应首先接收在途HIBE成果并形成有证据的最终三代表选择，补齐必要消息长度试验，统一第三方来源许可，并按本届模板整理封面、匿名信息与页数。报告中的参数表、图、截图和公开收据应绑定同一冻结版本；仍未实现的路线和目标参数运行继续明确列出。</w:t>
      </w:r>
    </w:p>
    <w:p>
      <w:r>
        <w:rPr>
          <w:b w:val="0"/>
        </w:rPr>
        <w:t>大规模目标密钥、完整高基数HIBE接入、部分IBS默认登记、跨安全目标的可比选择和多用户部署仍是后续工作。已知不安全调试配置保留为历史或负向试验对象，不进入安全展示结论。当前原型的算法来源、工作假设与实际运行范围已经能够分别说明；最终提交应在这些事实基础上成稿。</w:t>
      </w:r>
    </w:p>
    <w:p>
      <w:pPr>
        <w:pStyle w:val="Heading1"/>
        <w:pageBreakBefore/>
      </w:pPr>
      <w:r>
        <w:t>附录A 候选路线与实现状态</w:t>
      </w:r>
    </w:p>
    <w:p>
      <w:pPr>
        <w:pStyle w:val="Caption"/>
        <w:keepNext/>
        <w:jc w:val="center"/>
      </w:pPr>
      <w:r>
        <w:t>表8 HIBE路线清单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1474"/>
        <w:gridCol w:w="5329"/>
      </w:tblGrid>
      <w:tr>
        <w:trPr>
          <w:cantSplit/>
          <w:tblHeader/>
        </w:trPr>
        <w:tc>
          <w:tcPr>
            <w:tcW w:type="dxa" w:w="2268"/>
            <w:vAlign w:val="center"/>
            <w:tcMar>
              <w:top w:w="60" w:type="dxa"/>
              <w:bottom w:w="60" w:type="dxa"/>
              <w:left w:w="95" w:type="dxa"/>
              <w:right w:w="95" w:type="dxa"/>
            </w:tcMar>
            <w:shd w:fill="E9EDF0"/>
          </w:tcPr>
          <w:p>
            <w:pPr>
              <w:keepNext/>
              <w:spacing w:line="283" w:lineRule="auto" w:after="0"/>
              <w:ind w:firstLine="0"/>
              <w:jc w:val="center"/>
            </w:pPr>
            <w:r>
              <w:rPr>
                <w:b/>
                <w:sz w:val="18"/>
              </w:rPr>
              <w:t>路线</w:t>
            </w:r>
          </w:p>
        </w:tc>
        <w:tc>
          <w:tcPr>
            <w:tcW w:type="dxa" w:w="1474"/>
            <w:vAlign w:val="center"/>
            <w:tcMar>
              <w:top w:w="60" w:type="dxa"/>
              <w:bottom w:w="60" w:type="dxa"/>
              <w:left w:w="95" w:type="dxa"/>
              <w:right w:w="95" w:type="dxa"/>
            </w:tcMar>
            <w:shd w:fill="E9EDF0"/>
          </w:tcPr>
          <w:p>
            <w:pPr>
              <w:keepNext/>
              <w:spacing w:line="283" w:lineRule="auto" w:after="0"/>
              <w:ind w:firstLine="0"/>
              <w:jc w:val="center"/>
            </w:pPr>
            <w:r>
              <w:rPr>
                <w:b/>
                <w:sz w:val="18"/>
              </w:rPr>
              <w:t>独立完整研究后端</w:t>
            </w:r>
          </w:p>
        </w:tc>
        <w:tc>
          <w:tcPr>
            <w:tcW w:type="dxa" w:w="5329"/>
            <w:vAlign w:val="center"/>
            <w:tcMar>
              <w:top w:w="60" w:type="dxa"/>
              <w:bottom w:w="60" w:type="dxa"/>
              <w:left w:w="95" w:type="dxa"/>
              <w:right w:w="95" w:type="dxa"/>
            </w:tcMar>
            <w:shd w:fill="E9EDF0"/>
          </w:tcPr>
          <w:p>
            <w:pPr>
              <w:keepNext/>
              <w:spacing w:line="283" w:lineRule="auto" w:after="0"/>
              <w:ind w:firstLine="0"/>
              <w:jc w:val="center"/>
            </w:pPr>
            <w:r>
              <w:rPr>
                <w:b/>
                <w:sz w:val="18"/>
              </w:rPr>
              <w:t>截至本稿的状态</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CHKP ROM</w:t>
            </w:r>
          </w:p>
        </w:tc>
        <w:tc>
          <w:tcPr>
            <w:tcW w:type="dxa" w:w="1474"/>
            <w:vAlign w:val="center"/>
            <w:tcMar>
              <w:top w:w="60" w:type="dxa"/>
              <w:bottom w:w="60" w:type="dxa"/>
              <w:left w:w="95" w:type="dxa"/>
              <w:right w:w="95" w:type="dxa"/>
            </w:tcMar>
            <w:shd w:fill="FFFFFF"/>
          </w:tcPr>
          <w:p>
            <w:pPr>
              <w:keepNext/>
              <w:spacing w:line="283" w:lineRule="auto" w:after="0"/>
              <w:ind w:firstLine="0"/>
              <w:jc w:val="center"/>
            </w:pPr>
            <w:r>
              <w:rPr>
                <w:b w:val="0"/>
                <w:sz w:val="18"/>
              </w:rPr>
              <w:t>有</w:t>
            </w:r>
          </w:p>
        </w:tc>
        <w:tc>
          <w:tcPr>
            <w:tcW w:type="dxa" w:w="5329"/>
            <w:vAlign w:val="center"/>
            <w:tcMar>
              <w:top w:w="60" w:type="dxa"/>
              <w:bottom w:w="60" w:type="dxa"/>
              <w:left w:w="95" w:type="dxa"/>
              <w:right w:w="95" w:type="dxa"/>
            </w:tcMar>
            <w:shd w:fill="FFFFFF"/>
          </w:tcPr>
          <w:p>
            <w:pPr>
              <w:keepNext/>
              <w:spacing w:line="283" w:lineRule="auto" w:after="0"/>
              <w:ind w:firstLine="0"/>
              <w:jc w:val="center"/>
            </w:pPr>
            <w:r>
              <w:rPr>
                <w:b w:val="0"/>
                <w:sz w:val="18"/>
              </w:rPr>
              <w:t>真实委派和完整接线已有；目标高维另列</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ABB ROM</w:t>
            </w:r>
          </w:p>
        </w:tc>
        <w:tc>
          <w:tcPr>
            <w:tcW w:type="dxa" w:w="1474"/>
            <w:vAlign w:val="center"/>
            <w:tcMar>
              <w:top w:w="60" w:type="dxa"/>
              <w:bottom w:w="60" w:type="dxa"/>
              <w:left w:w="95" w:type="dxa"/>
              <w:right w:w="95" w:type="dxa"/>
            </w:tcMar>
            <w:shd w:fill="FFFFFF"/>
          </w:tcPr>
          <w:p>
            <w:pPr>
              <w:keepNext/>
              <w:spacing w:line="283" w:lineRule="auto" w:after="0"/>
              <w:ind w:firstLine="0"/>
              <w:jc w:val="center"/>
            </w:pPr>
            <w:r>
              <w:rPr>
                <w:b w:val="0"/>
                <w:sz w:val="18"/>
              </w:rPr>
              <w:t>有</w:t>
            </w:r>
          </w:p>
        </w:tc>
        <w:tc>
          <w:tcPr>
            <w:tcW w:type="dxa" w:w="5329"/>
            <w:vAlign w:val="center"/>
            <w:tcMar>
              <w:top w:w="60" w:type="dxa"/>
              <w:bottom w:w="60" w:type="dxa"/>
              <w:left w:w="95" w:type="dxa"/>
              <w:right w:w="95" w:type="dxa"/>
            </w:tcMar>
            <w:shd w:fill="FFFFFF"/>
          </w:tcPr>
          <w:p>
            <w:pPr>
              <w:keepNext/>
              <w:spacing w:line="283" w:lineRule="auto" w:after="0"/>
              <w:ind w:firstLine="0"/>
              <w:jc w:val="center"/>
            </w:pPr>
            <w:r>
              <w:rPr>
                <w:b w:val="0"/>
                <w:sz w:val="18"/>
              </w:rPr>
              <w:t>可运行研究实例；目标资源与选参另列</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LATTE</w:t>
            </w:r>
          </w:p>
        </w:tc>
        <w:tc>
          <w:tcPr>
            <w:tcW w:type="dxa" w:w="1474"/>
            <w:vAlign w:val="center"/>
            <w:tcMar>
              <w:top w:w="60" w:type="dxa"/>
              <w:bottom w:w="60" w:type="dxa"/>
              <w:left w:w="95" w:type="dxa"/>
              <w:right w:w="95" w:type="dxa"/>
            </w:tcMar>
            <w:shd w:fill="FFFFFF"/>
          </w:tcPr>
          <w:p>
            <w:pPr>
              <w:keepNext/>
              <w:spacing w:line="283" w:lineRule="auto" w:after="0"/>
              <w:ind w:firstLine="0"/>
              <w:jc w:val="center"/>
            </w:pPr>
            <w:r>
              <w:rPr>
                <w:b w:val="0"/>
                <w:sz w:val="18"/>
              </w:rPr>
              <w:t>有</w:t>
            </w:r>
          </w:p>
        </w:tc>
        <w:tc>
          <w:tcPr>
            <w:tcW w:type="dxa" w:w="5329"/>
            <w:vAlign w:val="center"/>
            <w:tcMar>
              <w:top w:w="60" w:type="dxa"/>
              <w:bottom w:w="60" w:type="dxa"/>
              <w:left w:w="95" w:type="dxa"/>
              <w:right w:w="95" w:type="dxa"/>
            </w:tcMar>
            <w:shd w:fill="FFFFFF"/>
          </w:tcPr>
          <w:p>
            <w:pPr>
              <w:keepNext/>
              <w:spacing w:line="283" w:lineRule="auto" w:after="0"/>
              <w:ind w:firstLine="0"/>
              <w:jc w:val="center"/>
            </w:pPr>
            <w:r>
              <w:rPr>
                <w:b w:val="0"/>
                <w:sz w:val="18"/>
              </w:rPr>
              <w:t>已有三组重复完整基线与Web演示</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GKR2025</w:t>
            </w:r>
          </w:p>
        </w:tc>
        <w:tc>
          <w:tcPr>
            <w:tcW w:type="dxa" w:w="1474"/>
            <w:vAlign w:val="center"/>
            <w:tcMar>
              <w:top w:w="60" w:type="dxa"/>
              <w:bottom w:w="60" w:type="dxa"/>
              <w:left w:w="95" w:type="dxa"/>
              <w:right w:w="95" w:type="dxa"/>
            </w:tcMar>
            <w:shd w:fill="FFFFFF"/>
          </w:tcPr>
          <w:p>
            <w:pPr>
              <w:keepNext/>
              <w:spacing w:line="283" w:lineRule="auto" w:after="0"/>
              <w:ind w:firstLine="0"/>
              <w:jc w:val="center"/>
            </w:pPr>
            <w:r>
              <w:rPr>
                <w:b w:val="0"/>
                <w:sz w:val="18"/>
              </w:rPr>
              <w:t>无</w:t>
            </w:r>
          </w:p>
        </w:tc>
        <w:tc>
          <w:tcPr>
            <w:tcW w:type="dxa" w:w="5329"/>
            <w:vAlign w:val="center"/>
            <w:tcMar>
              <w:top w:w="60" w:type="dxa"/>
              <w:bottom w:w="60" w:type="dxa"/>
              <w:left w:w="95" w:type="dxa"/>
              <w:right w:w="95" w:type="dxa"/>
            </w:tcMar>
            <w:shd w:fill="FFFFFF"/>
          </w:tcPr>
          <w:p>
            <w:pPr>
              <w:keepNext/>
              <w:spacing w:line="283" w:lineRule="auto" w:after="0"/>
              <w:ind w:firstLine="0"/>
              <w:jc w:val="center"/>
            </w:pPr>
            <w:r>
              <w:rPr>
                <w:b w:val="0"/>
                <w:sz w:val="18"/>
              </w:rPr>
              <w:t>暂缓路线</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Zhang2020</w:t>
            </w:r>
          </w:p>
        </w:tc>
        <w:tc>
          <w:tcPr>
            <w:tcW w:type="dxa" w:w="1474"/>
            <w:vAlign w:val="center"/>
            <w:tcMar>
              <w:top w:w="60" w:type="dxa"/>
              <w:bottom w:w="60" w:type="dxa"/>
              <w:left w:w="95" w:type="dxa"/>
              <w:right w:w="95" w:type="dxa"/>
            </w:tcMar>
            <w:shd w:fill="FFFFFF"/>
          </w:tcPr>
          <w:p>
            <w:pPr>
              <w:keepNext/>
              <w:spacing w:line="283" w:lineRule="auto" w:after="0"/>
              <w:ind w:firstLine="0"/>
              <w:jc w:val="center"/>
            </w:pPr>
            <w:r>
              <w:rPr>
                <w:b w:val="0"/>
                <w:sz w:val="18"/>
              </w:rPr>
              <w:t>无</w:t>
            </w:r>
          </w:p>
        </w:tc>
        <w:tc>
          <w:tcPr>
            <w:tcW w:type="dxa" w:w="5329"/>
            <w:vAlign w:val="center"/>
            <w:tcMar>
              <w:top w:w="60" w:type="dxa"/>
              <w:bottom w:w="60" w:type="dxa"/>
              <w:left w:w="95" w:type="dxa"/>
              <w:right w:w="95" w:type="dxa"/>
            </w:tcMar>
            <w:shd w:fill="FFFFFF"/>
          </w:tcPr>
          <w:p>
            <w:pPr>
              <w:keepNext/>
              <w:spacing w:line="283" w:lineRule="auto" w:after="0"/>
              <w:ind w:firstLine="0"/>
              <w:jc w:val="center"/>
            </w:pPr>
            <w:r>
              <w:rPr>
                <w:b w:val="0"/>
                <w:sz w:val="18"/>
              </w:rPr>
              <w:t>工具与原稿核验，不是完整后端</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ABB标准模型选择性版本</w:t>
            </w:r>
          </w:p>
        </w:tc>
        <w:tc>
          <w:tcPr>
            <w:tcW w:type="dxa" w:w="1474"/>
            <w:vAlign w:val="center"/>
            <w:tcMar>
              <w:top w:w="60" w:type="dxa"/>
              <w:bottom w:w="60" w:type="dxa"/>
              <w:left w:w="95" w:type="dxa"/>
              <w:right w:w="95" w:type="dxa"/>
            </w:tcMar>
            <w:shd w:fill="FFFFFF"/>
          </w:tcPr>
          <w:p>
            <w:pPr>
              <w:keepNext/>
              <w:spacing w:line="283" w:lineRule="auto" w:after="0"/>
              <w:ind w:firstLine="0"/>
              <w:jc w:val="center"/>
            </w:pPr>
            <w:r>
              <w:rPr>
                <w:b w:val="0"/>
                <w:sz w:val="18"/>
              </w:rPr>
              <w:t>无</w:t>
            </w:r>
          </w:p>
        </w:tc>
        <w:tc>
          <w:tcPr>
            <w:tcW w:type="dxa" w:w="5329"/>
            <w:vAlign w:val="center"/>
            <w:tcMar>
              <w:top w:w="60" w:type="dxa"/>
              <w:bottom w:w="60" w:type="dxa"/>
              <w:left w:w="95" w:type="dxa"/>
              <w:right w:w="95" w:type="dxa"/>
            </w:tcMar>
            <w:shd w:fill="FFFFFF"/>
          </w:tcPr>
          <w:p>
            <w:pPr>
              <w:keepNext/>
              <w:spacing w:line="283" w:lineRule="auto" w:after="0"/>
              <w:ind w:firstLine="0"/>
              <w:jc w:val="center"/>
            </w:pPr>
            <w:r>
              <w:rPr>
                <w:b w:val="0"/>
                <w:sz w:val="18"/>
              </w:rPr>
              <w:t>不以ROM版本替代，暂缓</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CHKP标准模型版本</w:t>
            </w:r>
          </w:p>
        </w:tc>
        <w:tc>
          <w:tcPr>
            <w:tcW w:type="dxa" w:w="1474"/>
            <w:vAlign w:val="center"/>
            <w:tcMar>
              <w:top w:w="60" w:type="dxa"/>
              <w:bottom w:w="60" w:type="dxa"/>
              <w:left w:w="95" w:type="dxa"/>
              <w:right w:w="95" w:type="dxa"/>
            </w:tcMar>
            <w:shd w:fill="FFFFFF"/>
          </w:tcPr>
          <w:p>
            <w:pPr>
              <w:keepNext/>
              <w:spacing w:line="283" w:lineRule="auto" w:after="0"/>
              <w:ind w:firstLine="0"/>
              <w:jc w:val="center"/>
            </w:pPr>
            <w:r>
              <w:rPr>
                <w:b w:val="0"/>
                <w:sz w:val="18"/>
              </w:rPr>
              <w:t>无</w:t>
            </w:r>
          </w:p>
        </w:tc>
        <w:tc>
          <w:tcPr>
            <w:tcW w:type="dxa" w:w="5329"/>
            <w:vAlign w:val="center"/>
            <w:tcMar>
              <w:top w:w="60" w:type="dxa"/>
              <w:bottom w:w="60" w:type="dxa"/>
              <w:left w:w="95" w:type="dxa"/>
              <w:right w:w="95" w:type="dxa"/>
            </w:tcMar>
            <w:shd w:fill="FFFFFF"/>
          </w:tcPr>
          <w:p>
            <w:pPr>
              <w:keepNext/>
              <w:spacing w:line="283" w:lineRule="auto" w:after="0"/>
              <w:ind w:firstLine="0"/>
              <w:jc w:val="center"/>
            </w:pPr>
            <w:r>
              <w:rPr>
                <w:b w:val="0"/>
                <w:sz w:val="18"/>
              </w:rPr>
              <w:t>不以ROM版本替代，暂缓</w:t>
            </w:r>
          </w:p>
        </w:tc>
      </w:tr>
      <w:tr>
        <w:trPr>
          <w:cantSplit/>
        </w:trPr>
        <w:tc>
          <w:tcPr>
            <w:tcW w:type="dxa" w:w="2268"/>
            <w:vAlign w:val="center"/>
            <w:tcMar>
              <w:top w:w="60" w:type="dxa"/>
              <w:bottom w:w="60" w:type="dxa"/>
              <w:left w:w="95" w:type="dxa"/>
              <w:right w:w="95" w:type="dxa"/>
            </w:tcMar>
            <w:shd w:fill="FFFFFF"/>
          </w:tcPr>
          <w:p>
            <w:pPr>
              <w:keepNext w:val="0"/>
              <w:spacing w:line="283" w:lineRule="auto" w:after="0"/>
              <w:ind w:firstLine="0"/>
            </w:pPr>
            <w:r>
              <w:rPr>
                <w:b w:val="0"/>
                <w:sz w:val="18"/>
              </w:rPr>
              <w:t>Lai理想格HIBE</w:t>
            </w:r>
          </w:p>
        </w:tc>
        <w:tc>
          <w:tcPr>
            <w:tcW w:type="dxa" w:w="1474"/>
            <w:vAlign w:val="center"/>
            <w:tcMar>
              <w:top w:w="60" w:type="dxa"/>
              <w:bottom w:w="60" w:type="dxa"/>
              <w:left w:w="95" w:type="dxa"/>
              <w:right w:w="95" w:type="dxa"/>
            </w:tcMar>
            <w:shd w:fill="FFFFFF"/>
          </w:tcPr>
          <w:p>
            <w:pPr>
              <w:keepNext w:val="0"/>
              <w:spacing w:line="283" w:lineRule="auto" w:after="0"/>
              <w:ind w:firstLine="0"/>
              <w:jc w:val="center"/>
            </w:pPr>
            <w:r>
              <w:rPr>
                <w:b w:val="0"/>
                <w:sz w:val="18"/>
              </w:rPr>
              <w:t>无</w:t>
            </w:r>
          </w:p>
        </w:tc>
        <w:tc>
          <w:tcPr>
            <w:tcW w:type="dxa" w:w="5329"/>
            <w:vAlign w:val="center"/>
            <w:tcMar>
              <w:top w:w="60" w:type="dxa"/>
              <w:bottom w:w="60" w:type="dxa"/>
              <w:left w:w="95" w:type="dxa"/>
              <w:right w:w="95" w:type="dxa"/>
            </w:tcMar>
            <w:shd w:fill="FFFFFF"/>
          </w:tcPr>
          <w:p>
            <w:pPr>
              <w:keepNext w:val="0"/>
              <w:spacing w:line="283" w:lineRule="auto" w:after="0"/>
              <w:ind w:firstLine="0"/>
              <w:jc w:val="center"/>
            </w:pPr>
            <w:r>
              <w:rPr>
                <w:b w:val="0"/>
                <w:sz w:val="18"/>
              </w:rPr>
              <w:t>原文与工具已归档，完整后端未交付</w:t>
            </w:r>
          </w:p>
        </w:tc>
      </w:tr>
    </w:tbl>
    <w:p>
      <w:pPr>
        <w:spacing w:after="40" w:line="96" w:lineRule="auto"/>
      </w:pPr>
    </w:p>
    <w:p>
      <w:pPr>
        <w:pStyle w:val="Caption"/>
        <w:keepNext/>
        <w:jc w:val="center"/>
      </w:pPr>
      <w:r>
        <w:t>表9 IBS路线清单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1474"/>
        <w:gridCol w:w="5329"/>
      </w:tblGrid>
      <w:tr>
        <w:trPr>
          <w:cantSplit/>
          <w:tblHeader/>
        </w:trPr>
        <w:tc>
          <w:tcPr>
            <w:tcW w:type="dxa" w:w="2268"/>
            <w:vAlign w:val="center"/>
            <w:tcMar>
              <w:top w:w="60" w:type="dxa"/>
              <w:bottom w:w="60" w:type="dxa"/>
              <w:left w:w="95" w:type="dxa"/>
              <w:right w:w="95" w:type="dxa"/>
            </w:tcMar>
            <w:shd w:fill="E9EDF0"/>
          </w:tcPr>
          <w:p>
            <w:pPr>
              <w:keepNext/>
              <w:spacing w:line="283" w:lineRule="auto" w:after="0"/>
              <w:ind w:firstLine="0"/>
              <w:jc w:val="center"/>
            </w:pPr>
            <w:r>
              <w:rPr>
                <w:b/>
                <w:sz w:val="18"/>
              </w:rPr>
              <w:t>路线</w:t>
            </w:r>
          </w:p>
        </w:tc>
        <w:tc>
          <w:tcPr>
            <w:tcW w:type="dxa" w:w="1474"/>
            <w:vAlign w:val="center"/>
            <w:tcMar>
              <w:top w:w="60" w:type="dxa"/>
              <w:bottom w:w="60" w:type="dxa"/>
              <w:left w:w="95" w:type="dxa"/>
              <w:right w:w="95" w:type="dxa"/>
            </w:tcMar>
            <w:shd w:fill="E9EDF0"/>
          </w:tcPr>
          <w:p>
            <w:pPr>
              <w:keepNext/>
              <w:spacing w:line="283" w:lineRule="auto" w:after="0"/>
              <w:ind w:firstLine="0"/>
              <w:jc w:val="center"/>
            </w:pPr>
            <w:r>
              <w:rPr>
                <w:b/>
                <w:sz w:val="18"/>
              </w:rPr>
              <w:t>独立完整研究后端</w:t>
            </w:r>
          </w:p>
        </w:tc>
        <w:tc>
          <w:tcPr>
            <w:tcW w:type="dxa" w:w="5329"/>
            <w:vAlign w:val="center"/>
            <w:tcMar>
              <w:top w:w="60" w:type="dxa"/>
              <w:bottom w:w="60" w:type="dxa"/>
              <w:left w:w="95" w:type="dxa"/>
              <w:right w:w="95" w:type="dxa"/>
            </w:tcMar>
            <w:shd w:fill="E9EDF0"/>
          </w:tcPr>
          <w:p>
            <w:pPr>
              <w:keepNext/>
              <w:spacing w:line="283" w:lineRule="auto" w:after="0"/>
              <w:ind w:firstLine="0"/>
              <w:jc w:val="center"/>
            </w:pPr>
            <w:r>
              <w:rPr>
                <w:b/>
                <w:sz w:val="18"/>
              </w:rPr>
              <w:t>默认框架与真实接线</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Luo矩阵版</w:t>
            </w:r>
          </w:p>
        </w:tc>
        <w:tc>
          <w:tcPr>
            <w:tcW w:type="dxa" w:w="1474"/>
            <w:vAlign w:val="center"/>
            <w:tcMar>
              <w:top w:w="60" w:type="dxa"/>
              <w:bottom w:w="60" w:type="dxa"/>
              <w:left w:w="95" w:type="dxa"/>
              <w:right w:w="95" w:type="dxa"/>
            </w:tcMar>
            <w:shd w:fill="FFFFFF"/>
          </w:tcPr>
          <w:p>
            <w:pPr>
              <w:keepNext/>
              <w:spacing w:line="283" w:lineRule="auto" w:after="0"/>
              <w:ind w:firstLine="0"/>
              <w:jc w:val="center"/>
            </w:pPr>
            <w:r>
              <w:rPr>
                <w:b w:val="0"/>
                <w:sz w:val="18"/>
              </w:rPr>
              <w:t>有</w:t>
            </w:r>
          </w:p>
        </w:tc>
        <w:tc>
          <w:tcPr>
            <w:tcW w:type="dxa" w:w="5329"/>
            <w:vAlign w:val="center"/>
            <w:tcMar>
              <w:top w:w="60" w:type="dxa"/>
              <w:bottom w:w="60" w:type="dxa"/>
              <w:left w:w="95" w:type="dxa"/>
              <w:right w:w="95" w:type="dxa"/>
            </w:tcMar>
            <w:shd w:fill="FFFFFF"/>
          </w:tcPr>
          <w:p>
            <w:pPr>
              <w:keepNext/>
              <w:spacing w:line="283" w:lineRule="auto" w:after="0"/>
              <w:ind w:firstLine="0"/>
              <w:jc w:val="center"/>
            </w:pPr>
            <w:r>
              <w:rPr>
                <w:b w:val="0"/>
                <w:sz w:val="18"/>
              </w:rPr>
              <w:t>已登记；研究参数，不恢复不合格参数凑代表</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Luo模格版</w:t>
            </w:r>
          </w:p>
        </w:tc>
        <w:tc>
          <w:tcPr>
            <w:tcW w:type="dxa" w:w="1474"/>
            <w:vAlign w:val="center"/>
            <w:tcMar>
              <w:top w:w="60" w:type="dxa"/>
              <w:bottom w:w="60" w:type="dxa"/>
              <w:left w:w="95" w:type="dxa"/>
              <w:right w:w="95" w:type="dxa"/>
            </w:tcMar>
            <w:shd w:fill="FFFFFF"/>
          </w:tcPr>
          <w:p>
            <w:pPr>
              <w:keepNext/>
              <w:spacing w:line="283" w:lineRule="auto" w:after="0"/>
              <w:ind w:firstLine="0"/>
              <w:jc w:val="center"/>
            </w:pPr>
            <w:r>
              <w:rPr>
                <w:b w:val="0"/>
                <w:sz w:val="18"/>
              </w:rPr>
              <w:t>有</w:t>
            </w:r>
          </w:p>
        </w:tc>
        <w:tc>
          <w:tcPr>
            <w:tcW w:type="dxa" w:w="5329"/>
            <w:vAlign w:val="center"/>
            <w:tcMar>
              <w:top w:w="60" w:type="dxa"/>
              <w:bottom w:w="60" w:type="dxa"/>
              <w:left w:w="95" w:type="dxa"/>
              <w:right w:w="95" w:type="dxa"/>
            </w:tcMar>
            <w:shd w:fill="FFFFFF"/>
          </w:tcPr>
          <w:p>
            <w:pPr>
              <w:keepNext/>
              <w:spacing w:line="283" w:lineRule="auto" w:after="0"/>
              <w:ind w:firstLine="0"/>
            </w:pPr>
            <w:r>
              <w:rPr>
                <w:b w:val="0"/>
                <w:sz w:val="18"/>
              </w:rPr>
              <w:t>已登记，LATTE与CHKP接线；默认与C64B分别记录</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Wang基本IBS加PW</w:t>
            </w:r>
          </w:p>
        </w:tc>
        <w:tc>
          <w:tcPr>
            <w:tcW w:type="dxa" w:w="1474"/>
            <w:vAlign w:val="center"/>
            <w:tcMar>
              <w:top w:w="60" w:type="dxa"/>
              <w:bottom w:w="60" w:type="dxa"/>
              <w:left w:w="95" w:type="dxa"/>
              <w:right w:w="95" w:type="dxa"/>
            </w:tcMar>
            <w:shd w:fill="FFFFFF"/>
          </w:tcPr>
          <w:p>
            <w:pPr>
              <w:keepNext/>
              <w:spacing w:line="283" w:lineRule="auto" w:after="0"/>
              <w:ind w:firstLine="0"/>
              <w:jc w:val="center"/>
            </w:pPr>
            <w:r>
              <w:rPr>
                <w:b w:val="0"/>
                <w:sz w:val="18"/>
              </w:rPr>
              <w:t>有</w:t>
            </w:r>
          </w:p>
        </w:tc>
        <w:tc>
          <w:tcPr>
            <w:tcW w:type="dxa" w:w="5329"/>
            <w:vAlign w:val="center"/>
            <w:tcMar>
              <w:top w:w="60" w:type="dxa"/>
              <w:bottom w:w="60" w:type="dxa"/>
              <w:left w:w="95" w:type="dxa"/>
              <w:right w:w="95" w:type="dxa"/>
            </w:tcMar>
            <w:shd w:fill="FFFFFF"/>
          </w:tcPr>
          <w:p>
            <w:pPr>
              <w:keepNext/>
              <w:spacing w:line="283" w:lineRule="auto" w:after="0"/>
              <w:ind w:firstLine="0"/>
              <w:jc w:val="center"/>
            </w:pPr>
            <w:r>
              <w:rPr>
                <w:b w:val="0"/>
                <w:sz w:val="18"/>
              </w:rPr>
              <w:t>已登记，LATTE接线；q17调试档可公开伪造</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SRGG2025</w:t>
            </w:r>
          </w:p>
        </w:tc>
        <w:tc>
          <w:tcPr>
            <w:tcW w:type="dxa" w:w="1474"/>
            <w:vAlign w:val="center"/>
            <w:tcMar>
              <w:top w:w="60" w:type="dxa"/>
              <w:bottom w:w="60" w:type="dxa"/>
              <w:left w:w="95" w:type="dxa"/>
              <w:right w:w="95" w:type="dxa"/>
            </w:tcMar>
            <w:shd w:fill="FFFFFF"/>
          </w:tcPr>
          <w:p>
            <w:pPr>
              <w:keepNext/>
              <w:spacing w:line="283" w:lineRule="auto" w:after="0"/>
              <w:ind w:firstLine="0"/>
              <w:jc w:val="center"/>
            </w:pPr>
            <w:r>
              <w:rPr>
                <w:b w:val="0"/>
                <w:sz w:val="18"/>
              </w:rPr>
              <w:t>有</w:t>
            </w:r>
          </w:p>
        </w:tc>
        <w:tc>
          <w:tcPr>
            <w:tcW w:type="dxa" w:w="5329"/>
            <w:vAlign w:val="center"/>
            <w:tcMar>
              <w:top w:w="60" w:type="dxa"/>
              <w:bottom w:w="60" w:type="dxa"/>
              <w:left w:w="95" w:type="dxa"/>
              <w:right w:w="95" w:type="dxa"/>
            </w:tcMar>
            <w:shd w:fill="FFFFFF"/>
          </w:tcPr>
          <w:p>
            <w:pPr>
              <w:keepNext/>
              <w:spacing w:line="283" w:lineRule="auto" w:after="0"/>
              <w:ind w:firstLine="0"/>
              <w:jc w:val="center"/>
            </w:pPr>
            <w:r>
              <w:rPr>
                <w:b w:val="0"/>
                <w:sz w:val="18"/>
              </w:rPr>
              <w:t>默认小参数已登记配对；独立论文参数路线尚未接入</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Yu2026</w:t>
            </w:r>
          </w:p>
        </w:tc>
        <w:tc>
          <w:tcPr>
            <w:tcW w:type="dxa" w:w="1474"/>
            <w:vAlign w:val="center"/>
            <w:tcMar>
              <w:top w:w="60" w:type="dxa"/>
              <w:bottom w:w="60" w:type="dxa"/>
              <w:left w:w="95" w:type="dxa"/>
              <w:right w:w="95" w:type="dxa"/>
            </w:tcMar>
            <w:shd w:fill="FFFFFF"/>
          </w:tcPr>
          <w:p>
            <w:pPr>
              <w:keepNext/>
              <w:spacing w:line="283" w:lineRule="auto" w:after="0"/>
              <w:ind w:firstLine="0"/>
              <w:jc w:val="center"/>
            </w:pPr>
            <w:r>
              <w:rPr>
                <w:b w:val="0"/>
                <w:sz w:val="18"/>
              </w:rPr>
              <w:t>有</w:t>
            </w:r>
          </w:p>
        </w:tc>
        <w:tc>
          <w:tcPr>
            <w:tcW w:type="dxa" w:w="5329"/>
            <w:vAlign w:val="center"/>
            <w:tcMar>
              <w:top w:w="60" w:type="dxa"/>
              <w:bottom w:w="60" w:type="dxa"/>
              <w:left w:w="95" w:type="dxa"/>
              <w:right w:w="95" w:type="dxa"/>
            </w:tcMar>
            <w:shd w:fill="FFFFFF"/>
          </w:tcPr>
          <w:p>
            <w:pPr>
              <w:keepNext/>
              <w:spacing w:line="283" w:lineRule="auto" w:after="0"/>
              <w:ind w:firstLine="0"/>
              <w:jc w:val="center"/>
            </w:pPr>
            <w:r>
              <w:rPr>
                <w:b w:val="0"/>
                <w:sz w:val="18"/>
              </w:rPr>
              <w:t>未默认登记；1至4字节输入不足公共构造</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Sageloli SIS</w:t>
            </w:r>
          </w:p>
        </w:tc>
        <w:tc>
          <w:tcPr>
            <w:tcW w:type="dxa" w:w="1474"/>
            <w:vAlign w:val="center"/>
            <w:tcMar>
              <w:top w:w="60" w:type="dxa"/>
              <w:bottom w:w="60" w:type="dxa"/>
              <w:left w:w="95" w:type="dxa"/>
              <w:right w:w="95" w:type="dxa"/>
            </w:tcMar>
            <w:shd w:fill="FFFFFF"/>
          </w:tcPr>
          <w:p>
            <w:pPr>
              <w:keepNext/>
              <w:spacing w:line="283" w:lineRule="auto" w:after="0"/>
              <w:ind w:firstLine="0"/>
              <w:jc w:val="center"/>
            </w:pPr>
            <w:r>
              <w:rPr>
                <w:b w:val="0"/>
                <w:sz w:val="18"/>
              </w:rPr>
              <w:t>有</w:t>
            </w:r>
          </w:p>
        </w:tc>
        <w:tc>
          <w:tcPr>
            <w:tcW w:type="dxa" w:w="5329"/>
            <w:vAlign w:val="center"/>
            <w:tcMar>
              <w:top w:w="60" w:type="dxa"/>
              <w:bottom w:w="60" w:type="dxa"/>
              <w:left w:w="95" w:type="dxa"/>
              <w:right w:w="95" w:type="dxa"/>
            </w:tcMar>
            <w:shd w:fill="FFFFFF"/>
          </w:tcPr>
          <w:p>
            <w:pPr>
              <w:keepNext/>
              <w:spacing w:line="283" w:lineRule="auto" w:after="0"/>
              <w:ind w:firstLine="0"/>
              <w:jc w:val="center"/>
            </w:pPr>
            <w:r>
              <w:rPr>
                <w:b w:val="0"/>
                <w:sz w:val="18"/>
              </w:rPr>
              <w:t>未默认登记，未真实HIBE配对</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Sageloli RSIS</w:t>
            </w:r>
          </w:p>
        </w:tc>
        <w:tc>
          <w:tcPr>
            <w:tcW w:type="dxa" w:w="1474"/>
            <w:vAlign w:val="center"/>
            <w:tcMar>
              <w:top w:w="60" w:type="dxa"/>
              <w:bottom w:w="60" w:type="dxa"/>
              <w:left w:w="95" w:type="dxa"/>
              <w:right w:w="95" w:type="dxa"/>
            </w:tcMar>
            <w:shd w:fill="FFFFFF"/>
          </w:tcPr>
          <w:p>
            <w:pPr>
              <w:keepNext/>
              <w:spacing w:line="283" w:lineRule="auto" w:after="0"/>
              <w:ind w:firstLine="0"/>
              <w:jc w:val="center"/>
            </w:pPr>
            <w:r>
              <w:rPr>
                <w:b w:val="0"/>
                <w:sz w:val="18"/>
              </w:rPr>
              <w:t>有</w:t>
            </w:r>
          </w:p>
        </w:tc>
        <w:tc>
          <w:tcPr>
            <w:tcW w:type="dxa" w:w="5329"/>
            <w:vAlign w:val="center"/>
            <w:tcMar>
              <w:top w:w="60" w:type="dxa"/>
              <w:bottom w:w="60" w:type="dxa"/>
              <w:left w:w="95" w:type="dxa"/>
              <w:right w:w="95" w:type="dxa"/>
            </w:tcMar>
            <w:shd w:fill="FFFFFF"/>
          </w:tcPr>
          <w:p>
            <w:pPr>
              <w:keepNext/>
              <w:spacing w:line="283" w:lineRule="auto" w:after="0"/>
              <w:ind w:firstLine="0"/>
              <w:jc w:val="center"/>
            </w:pPr>
            <w:r>
              <w:rPr>
                <w:b w:val="0"/>
                <w:sz w:val="18"/>
              </w:rPr>
              <w:t>未默认登记，未真实HIBE配对</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Foo–Li</w:t>
            </w:r>
          </w:p>
        </w:tc>
        <w:tc>
          <w:tcPr>
            <w:tcW w:type="dxa" w:w="1474"/>
            <w:vAlign w:val="center"/>
            <w:tcMar>
              <w:top w:w="60" w:type="dxa"/>
              <w:bottom w:w="60" w:type="dxa"/>
              <w:left w:w="95" w:type="dxa"/>
              <w:right w:w="95" w:type="dxa"/>
            </w:tcMar>
            <w:shd w:fill="FFFFFF"/>
          </w:tcPr>
          <w:p>
            <w:pPr>
              <w:keepNext/>
              <w:spacing w:line="283" w:lineRule="auto" w:after="0"/>
              <w:ind w:firstLine="0"/>
              <w:jc w:val="center"/>
            </w:pPr>
            <w:r>
              <w:rPr>
                <w:b w:val="0"/>
                <w:sz w:val="18"/>
              </w:rPr>
              <w:t>有</w:t>
            </w:r>
          </w:p>
        </w:tc>
        <w:tc>
          <w:tcPr>
            <w:tcW w:type="dxa" w:w="5329"/>
            <w:vAlign w:val="center"/>
            <w:tcMar>
              <w:top w:w="60" w:type="dxa"/>
              <w:bottom w:w="60" w:type="dxa"/>
              <w:left w:w="95" w:type="dxa"/>
              <w:right w:w="95" w:type="dxa"/>
            </w:tcMar>
            <w:shd w:fill="FFFFFF"/>
          </w:tcPr>
          <w:p>
            <w:pPr>
              <w:keepNext/>
              <w:spacing w:line="283" w:lineRule="auto" w:after="0"/>
              <w:ind w:firstLine="0"/>
              <w:jc w:val="center"/>
            </w:pPr>
            <w:r>
              <w:rPr>
                <w:b w:val="0"/>
                <w:sz w:val="18"/>
              </w:rPr>
              <w:t>未默认登记，未真实HIBE配对</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BNN加ML-DSA</w:t>
            </w:r>
          </w:p>
        </w:tc>
        <w:tc>
          <w:tcPr>
            <w:tcW w:type="dxa" w:w="1474"/>
            <w:vAlign w:val="center"/>
            <w:tcMar>
              <w:top w:w="60" w:type="dxa"/>
              <w:bottom w:w="60" w:type="dxa"/>
              <w:left w:w="95" w:type="dxa"/>
              <w:right w:w="95" w:type="dxa"/>
            </w:tcMar>
            <w:shd w:fill="FFFFFF"/>
          </w:tcPr>
          <w:p>
            <w:pPr>
              <w:keepNext/>
              <w:spacing w:line="283" w:lineRule="auto" w:after="0"/>
              <w:ind w:firstLine="0"/>
              <w:jc w:val="center"/>
            </w:pPr>
            <w:r>
              <w:rPr>
                <w:b w:val="0"/>
                <w:sz w:val="18"/>
              </w:rPr>
              <w:t>有</w:t>
            </w:r>
          </w:p>
        </w:tc>
        <w:tc>
          <w:tcPr>
            <w:tcW w:type="dxa" w:w="5329"/>
            <w:vAlign w:val="center"/>
            <w:tcMar>
              <w:top w:w="60" w:type="dxa"/>
              <w:bottom w:w="60" w:type="dxa"/>
              <w:left w:w="95" w:type="dxa"/>
              <w:right w:w="95" w:type="dxa"/>
            </w:tcMar>
            <w:shd w:fill="FFFFFF"/>
          </w:tcPr>
          <w:p>
            <w:pPr>
              <w:keepNext/>
              <w:spacing w:line="283" w:lineRule="auto" w:after="0"/>
              <w:ind w:firstLine="0"/>
              <w:jc w:val="center"/>
            </w:pPr>
            <w:r>
              <w:rPr>
                <w:b w:val="0"/>
                <w:sz w:val="18"/>
              </w:rPr>
              <w:t>已登记，多参数LATTE配对；参数档不另计算法</w:t>
            </w:r>
          </w:p>
        </w:tc>
      </w:tr>
      <w:tr>
        <w:trPr>
          <w:cantSplit/>
        </w:trPr>
        <w:tc>
          <w:tcPr>
            <w:tcW w:type="dxa" w:w="2268"/>
            <w:vAlign w:val="center"/>
            <w:tcMar>
              <w:top w:w="60" w:type="dxa"/>
              <w:bottom w:w="60" w:type="dxa"/>
              <w:left w:w="95" w:type="dxa"/>
              <w:right w:w="95" w:type="dxa"/>
            </w:tcMar>
            <w:shd w:fill="FFFFFF"/>
          </w:tcPr>
          <w:p>
            <w:pPr>
              <w:keepNext/>
              <w:spacing w:line="283" w:lineRule="auto" w:after="0"/>
              <w:ind w:firstLine="0"/>
            </w:pPr>
            <w:r>
              <w:rPr>
                <w:b w:val="0"/>
                <w:sz w:val="18"/>
              </w:rPr>
              <w:t>BNN加Falcon</w:t>
            </w:r>
          </w:p>
        </w:tc>
        <w:tc>
          <w:tcPr>
            <w:tcW w:type="dxa" w:w="1474"/>
            <w:vAlign w:val="center"/>
            <w:tcMar>
              <w:top w:w="60" w:type="dxa"/>
              <w:bottom w:w="60" w:type="dxa"/>
              <w:left w:w="95" w:type="dxa"/>
              <w:right w:w="95" w:type="dxa"/>
            </w:tcMar>
            <w:shd w:fill="FFFFFF"/>
          </w:tcPr>
          <w:p>
            <w:pPr>
              <w:keepNext/>
              <w:spacing w:line="283" w:lineRule="auto" w:after="0"/>
              <w:ind w:firstLine="0"/>
              <w:jc w:val="center"/>
            </w:pPr>
            <w:r>
              <w:rPr>
                <w:b w:val="0"/>
                <w:sz w:val="18"/>
              </w:rPr>
              <w:t>有</w:t>
            </w:r>
          </w:p>
        </w:tc>
        <w:tc>
          <w:tcPr>
            <w:tcW w:type="dxa" w:w="5329"/>
            <w:vAlign w:val="center"/>
            <w:tcMar>
              <w:top w:w="60" w:type="dxa"/>
              <w:bottom w:w="60" w:type="dxa"/>
              <w:left w:w="95" w:type="dxa"/>
              <w:right w:w="95" w:type="dxa"/>
            </w:tcMar>
            <w:shd w:fill="FFFFFF"/>
          </w:tcPr>
          <w:p>
            <w:pPr>
              <w:keepNext/>
              <w:spacing w:line="283" w:lineRule="auto" w:after="0"/>
              <w:ind w:firstLine="0"/>
              <w:jc w:val="center"/>
            </w:pPr>
            <w:r>
              <w:rPr>
                <w:b w:val="0"/>
                <w:sz w:val="18"/>
              </w:rPr>
              <w:t>已登记，512与1024配对；参数档不另计算法</w:t>
            </w:r>
          </w:p>
        </w:tc>
      </w:tr>
      <w:tr>
        <w:trPr>
          <w:cantSplit/>
        </w:trPr>
        <w:tc>
          <w:tcPr>
            <w:tcW w:type="dxa" w:w="2268"/>
            <w:vAlign w:val="center"/>
            <w:tcMar>
              <w:top w:w="60" w:type="dxa"/>
              <w:bottom w:w="60" w:type="dxa"/>
              <w:left w:w="95" w:type="dxa"/>
              <w:right w:w="95" w:type="dxa"/>
            </w:tcMar>
            <w:shd w:fill="FFFFFF"/>
          </w:tcPr>
          <w:p>
            <w:pPr>
              <w:keepNext w:val="0"/>
              <w:spacing w:line="283" w:lineRule="auto" w:after="0"/>
              <w:ind w:firstLine="0"/>
            </w:pPr>
            <w:r>
              <w:rPr>
                <w:b w:val="0"/>
                <w:sz w:val="18"/>
              </w:rPr>
              <w:t>Xie NTRU IBS</w:t>
            </w:r>
          </w:p>
        </w:tc>
        <w:tc>
          <w:tcPr>
            <w:tcW w:type="dxa" w:w="1474"/>
            <w:vAlign w:val="center"/>
            <w:tcMar>
              <w:top w:w="60" w:type="dxa"/>
              <w:bottom w:w="60" w:type="dxa"/>
              <w:left w:w="95" w:type="dxa"/>
              <w:right w:w="95" w:type="dxa"/>
            </w:tcMar>
            <w:shd w:fill="FFFFFF"/>
          </w:tcPr>
          <w:p>
            <w:pPr>
              <w:keepNext w:val="0"/>
              <w:spacing w:line="283" w:lineRule="auto" w:after="0"/>
              <w:ind w:firstLine="0"/>
              <w:jc w:val="center"/>
            </w:pPr>
            <w:r>
              <w:rPr>
                <w:b w:val="0"/>
                <w:sz w:val="18"/>
              </w:rPr>
              <w:t>无</w:t>
            </w:r>
          </w:p>
        </w:tc>
        <w:tc>
          <w:tcPr>
            <w:tcW w:type="dxa" w:w="5329"/>
            <w:vAlign w:val="center"/>
            <w:tcMar>
              <w:top w:w="60" w:type="dxa"/>
              <w:bottom w:w="60" w:type="dxa"/>
              <w:left w:w="95" w:type="dxa"/>
              <w:right w:w="95" w:type="dxa"/>
            </w:tcMar>
            <w:shd w:fill="FFFFFF"/>
          </w:tcPr>
          <w:p>
            <w:pPr>
              <w:keepNext w:val="0"/>
              <w:spacing w:line="283" w:lineRule="auto" w:after="0"/>
              <w:ind w:firstLine="0"/>
              <w:jc w:val="center"/>
            </w:pPr>
            <w:r>
              <w:rPr>
                <w:b w:val="0"/>
                <w:sz w:val="18"/>
              </w:rPr>
              <w:t>修订研究核，尚非共同IBSBackend</w:t>
            </w:r>
          </w:p>
        </w:tc>
      </w:tr>
    </w:tbl>
    <w:p>
      <w:pPr>
        <w:spacing w:after="40" w:line="96" w:lineRule="auto"/>
      </w:pPr>
    </w:p>
    <w:p>
      <w:r>
        <w:rPr>
          <w:b w:val="0"/>
        </w:rPr>
        <w:t>MP12研究变体、高基数参数、编码变化及同算法参数档不另计一篇独立方案。以上状态按当前目录和后续已合入交付共同确定；目录中的旧日期说明保留为历史证据，不能覆盖较新交付。已知不安全调试参数具体记录在E08，不能从某个调试配置的公开伪造推广到整篇论文算法。</w:t>
      </w:r>
    </w:p>
    <w:p>
      <w:pPr>
        <w:pStyle w:val="Heading1"/>
        <w:pageBreakBefore/>
      </w:pPr>
      <w:r>
        <w:t>附录B 参数与公开证据索引</w:t>
      </w:r>
    </w:p>
    <w:p>
      <w:r>
        <w:rPr>
          <w:b w:val="0"/>
        </w:rPr>
        <w:t>本稿图4、表4、表5从E04比较JSON和参数卡生成，图5与表6从E11消融JSON生成。生成时同时记录输入文件SHA及完整Suite于 report-facts.json。正文使用归档实测值，文档生成不会调用任何密码采样或打开运行私钥。</w:t>
      </w:r>
    </w:p>
    <w:p>
      <w:pPr>
        <w:pStyle w:val="Caption"/>
        <w:keepNext/>
        <w:jc w:val="center"/>
      </w:pPr>
      <w:r>
        <w:t>表10 公开证据索引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4876"/>
        <w:gridCol w:w="3458"/>
      </w:tblGrid>
      <w:tr>
        <w:trPr>
          <w:cantSplit/>
          <w:tblHeader/>
        </w:trPr>
        <w:tc>
          <w:tcPr>
            <w:tcW w:type="dxa" w:w="737"/>
            <w:vAlign w:val="center"/>
            <w:tcMar>
              <w:top w:w="60" w:type="dxa"/>
              <w:bottom w:w="60" w:type="dxa"/>
              <w:left w:w="95" w:type="dxa"/>
              <w:right w:w="95" w:type="dxa"/>
            </w:tcMar>
            <w:shd w:fill="E9EDF0"/>
          </w:tcPr>
          <w:p>
            <w:pPr>
              <w:keepNext/>
              <w:spacing w:line="283" w:lineRule="auto" w:after="0"/>
              <w:ind w:firstLine="0"/>
              <w:jc w:val="center"/>
            </w:pPr>
            <w:r>
              <w:rPr>
                <w:b/>
                <w:sz w:val="18"/>
              </w:rPr>
              <w:t>编号</w:t>
            </w:r>
          </w:p>
        </w:tc>
        <w:tc>
          <w:tcPr>
            <w:tcW w:type="dxa" w:w="4876"/>
            <w:vAlign w:val="center"/>
            <w:tcMar>
              <w:top w:w="60" w:type="dxa"/>
              <w:bottom w:w="60" w:type="dxa"/>
              <w:left w:w="95" w:type="dxa"/>
              <w:right w:w="95" w:type="dxa"/>
            </w:tcMar>
            <w:shd w:fill="E9EDF0"/>
          </w:tcPr>
          <w:p>
            <w:pPr>
              <w:keepNext/>
              <w:spacing w:line="283" w:lineRule="auto" w:after="0"/>
              <w:ind w:firstLine="0"/>
              <w:jc w:val="center"/>
            </w:pPr>
            <w:r>
              <w:rPr>
                <w:b/>
                <w:sz w:val="18"/>
              </w:rPr>
              <w:t>证据</w:t>
            </w:r>
          </w:p>
        </w:tc>
        <w:tc>
          <w:tcPr>
            <w:tcW w:type="dxa" w:w="3458"/>
            <w:vAlign w:val="center"/>
            <w:tcMar>
              <w:top w:w="60" w:type="dxa"/>
              <w:bottom w:w="60" w:type="dxa"/>
              <w:left w:w="95" w:type="dxa"/>
              <w:right w:w="95" w:type="dxa"/>
            </w:tcMar>
            <w:shd w:fill="E9EDF0"/>
          </w:tcPr>
          <w:p>
            <w:pPr>
              <w:keepNext/>
              <w:spacing w:line="283" w:lineRule="auto" w:after="0"/>
              <w:ind w:firstLine="0"/>
              <w:jc w:val="center"/>
            </w:pPr>
            <w:r>
              <w:rPr>
                <w:b/>
                <w:sz w:val="18"/>
              </w:rPr>
              <w:t>用途</w:t>
            </w:r>
          </w:p>
        </w:tc>
      </w:tr>
      <w:tr>
        <w:trPr>
          <w:cantSplit/>
        </w:trPr>
        <w:tc>
          <w:tcPr>
            <w:tcW w:type="dxa" w:w="737"/>
            <w:vAlign w:val="center"/>
            <w:tcMar>
              <w:top w:w="60" w:type="dxa"/>
              <w:bottom w:w="60" w:type="dxa"/>
              <w:left w:w="95" w:type="dxa"/>
              <w:right w:w="95" w:type="dxa"/>
            </w:tcMar>
            <w:shd w:fill="FFFFFF"/>
          </w:tcPr>
          <w:p>
            <w:pPr>
              <w:keepNext/>
              <w:spacing w:line="283" w:lineRule="auto" w:after="0"/>
              <w:ind w:firstLine="0"/>
            </w:pPr>
            <w:r>
              <w:rPr>
                <w:b w:val="0"/>
                <w:sz w:val="18"/>
              </w:rPr>
              <w:t>E01</w:t>
            </w:r>
          </w:p>
        </w:tc>
        <w:tc>
          <w:tcPr>
            <w:tcW w:type="dxa" w:w="4876"/>
            <w:vAlign w:val="center"/>
            <w:tcMar>
              <w:top w:w="60" w:type="dxa"/>
              <w:bottom w:w="60" w:type="dxa"/>
              <w:left w:w="95" w:type="dxa"/>
              <w:right w:w="95" w:type="dxa"/>
            </w:tcMar>
            <w:shd w:fill="FFFFFF"/>
          </w:tcPr>
          <w:p>
            <w:pPr>
              <w:keepNext/>
              <w:spacing w:line="283" w:lineRule="auto" w:after="0"/>
              <w:ind w:firstLine="0"/>
            </w:pPr>
            <w:r>
              <w:rPr>
                <w:b w:val="0"/>
                <w:sz w:val="18"/>
              </w:rPr>
            </w:r>
            <w:hyperlink r:id="rId17">
              <w:r>
                <w:rPr>
                  <w:color w:val="000000"/>
                  <w:u w:val="single"/>
                </w:rPr>
                <w:t>MLDSA完整基线</w:t>
              </w:r>
            </w:hyperlink>
            <w:r>
              <w:rPr>
                <w:b w:val="0"/>
                <w:sz w:val="18"/>
              </w:rPr>
            </w:r>
          </w:p>
        </w:tc>
        <w:tc>
          <w:tcPr>
            <w:tcW w:type="dxa" w:w="3458"/>
            <w:vAlign w:val="center"/>
            <w:tcMar>
              <w:top w:w="60" w:type="dxa"/>
              <w:bottom w:w="60" w:type="dxa"/>
              <w:left w:w="95" w:type="dxa"/>
              <w:right w:w="95" w:type="dxa"/>
            </w:tcMar>
            <w:shd w:fill="FFFFFF"/>
          </w:tcPr>
          <w:p>
            <w:pPr>
              <w:keepNext/>
              <w:spacing w:line="283" w:lineRule="auto" w:after="0"/>
              <w:ind w:firstLine="0"/>
              <w:jc w:val="center"/>
            </w:pPr>
            <w:r>
              <w:rPr>
                <w:b w:val="0"/>
                <w:sz w:val="18"/>
              </w:rPr>
              <w:t>版本输入计时尺寸与恢复</w:t>
            </w:r>
          </w:p>
        </w:tc>
      </w:tr>
      <w:tr>
        <w:trPr>
          <w:cantSplit/>
        </w:trPr>
        <w:tc>
          <w:tcPr>
            <w:tcW w:type="dxa" w:w="737"/>
            <w:vAlign w:val="center"/>
            <w:tcMar>
              <w:top w:w="60" w:type="dxa"/>
              <w:bottom w:w="60" w:type="dxa"/>
              <w:left w:w="95" w:type="dxa"/>
              <w:right w:w="95" w:type="dxa"/>
            </w:tcMar>
            <w:shd w:fill="FFFFFF"/>
          </w:tcPr>
          <w:p>
            <w:pPr>
              <w:keepNext/>
              <w:spacing w:line="283" w:lineRule="auto" w:after="0"/>
              <w:ind w:firstLine="0"/>
            </w:pPr>
            <w:r>
              <w:rPr>
                <w:b w:val="0"/>
                <w:sz w:val="18"/>
              </w:rPr>
              <w:t>E02</w:t>
            </w:r>
          </w:p>
        </w:tc>
        <w:tc>
          <w:tcPr>
            <w:tcW w:type="dxa" w:w="4876"/>
            <w:vAlign w:val="center"/>
            <w:tcMar>
              <w:top w:w="60" w:type="dxa"/>
              <w:bottom w:w="60" w:type="dxa"/>
              <w:left w:w="95" w:type="dxa"/>
              <w:right w:w="95" w:type="dxa"/>
            </w:tcMar>
            <w:shd w:fill="FFFFFF"/>
          </w:tcPr>
          <w:p>
            <w:pPr>
              <w:keepNext/>
              <w:spacing w:line="283" w:lineRule="auto" w:after="0"/>
              <w:ind w:firstLine="0"/>
            </w:pPr>
            <w:r>
              <w:rPr>
                <w:b w:val="0"/>
                <w:sz w:val="18"/>
              </w:rPr>
            </w:r>
            <w:hyperlink r:id="rId18">
              <w:r>
                <w:rPr>
                  <w:color w:val="000000"/>
                  <w:u w:val="single"/>
                </w:rPr>
                <w:t>Falcon完整基线</w:t>
              </w:r>
            </w:hyperlink>
            <w:r>
              <w:rPr>
                <w:b w:val="0"/>
                <w:sz w:val="18"/>
              </w:rPr>
            </w:r>
          </w:p>
        </w:tc>
        <w:tc>
          <w:tcPr>
            <w:tcW w:type="dxa" w:w="3458"/>
            <w:vAlign w:val="center"/>
            <w:tcMar>
              <w:top w:w="60" w:type="dxa"/>
              <w:bottom w:w="60" w:type="dxa"/>
              <w:left w:w="95" w:type="dxa"/>
              <w:right w:w="95" w:type="dxa"/>
            </w:tcMar>
            <w:shd w:fill="FFFFFF"/>
          </w:tcPr>
          <w:p>
            <w:pPr>
              <w:keepNext/>
              <w:spacing w:line="283" w:lineRule="auto" w:after="0"/>
              <w:ind w:firstLine="0"/>
              <w:jc w:val="center"/>
            </w:pPr>
            <w:r>
              <w:rPr>
                <w:b w:val="0"/>
                <w:sz w:val="18"/>
              </w:rPr>
              <w:t>同上</w:t>
            </w:r>
          </w:p>
        </w:tc>
      </w:tr>
      <w:tr>
        <w:trPr>
          <w:cantSplit/>
        </w:trPr>
        <w:tc>
          <w:tcPr>
            <w:tcW w:type="dxa" w:w="737"/>
            <w:vAlign w:val="center"/>
            <w:tcMar>
              <w:top w:w="60" w:type="dxa"/>
              <w:bottom w:w="60" w:type="dxa"/>
              <w:left w:w="95" w:type="dxa"/>
              <w:right w:w="95" w:type="dxa"/>
            </w:tcMar>
            <w:shd w:fill="FFFFFF"/>
          </w:tcPr>
          <w:p>
            <w:pPr>
              <w:keepNext/>
              <w:spacing w:line="283" w:lineRule="auto" w:after="0"/>
              <w:ind w:firstLine="0"/>
            </w:pPr>
            <w:r>
              <w:rPr>
                <w:b w:val="0"/>
                <w:sz w:val="18"/>
              </w:rPr>
              <w:t>E03</w:t>
            </w:r>
          </w:p>
        </w:tc>
        <w:tc>
          <w:tcPr>
            <w:tcW w:type="dxa" w:w="4876"/>
            <w:vAlign w:val="center"/>
            <w:tcMar>
              <w:top w:w="60" w:type="dxa"/>
              <w:bottom w:w="60" w:type="dxa"/>
              <w:left w:w="95" w:type="dxa"/>
              <w:right w:w="95" w:type="dxa"/>
            </w:tcMar>
            <w:shd w:fill="FFFFFF"/>
          </w:tcPr>
          <w:p>
            <w:pPr>
              <w:keepNext/>
              <w:spacing w:line="283" w:lineRule="auto" w:after="0"/>
              <w:ind w:firstLine="0"/>
            </w:pPr>
            <w:r>
              <w:rPr>
                <w:b w:val="0"/>
                <w:sz w:val="18"/>
              </w:rPr>
            </w:r>
            <w:hyperlink r:id="rId19">
              <w:r>
                <w:rPr>
                  <w:color w:val="000000"/>
                  <w:u w:val="single"/>
                </w:rPr>
                <w:t>Luo完整基线</w:t>
              </w:r>
            </w:hyperlink>
            <w:r>
              <w:rPr>
                <w:b w:val="0"/>
                <w:sz w:val="18"/>
              </w:rPr>
            </w:r>
          </w:p>
        </w:tc>
        <w:tc>
          <w:tcPr>
            <w:tcW w:type="dxa" w:w="3458"/>
            <w:vAlign w:val="center"/>
            <w:tcMar>
              <w:top w:w="60" w:type="dxa"/>
              <w:bottom w:w="60" w:type="dxa"/>
              <w:left w:w="95" w:type="dxa"/>
              <w:right w:w="95" w:type="dxa"/>
            </w:tcMar>
            <w:shd w:fill="FFFFFF"/>
          </w:tcPr>
          <w:p>
            <w:pPr>
              <w:keepNext/>
              <w:spacing w:line="283" w:lineRule="auto" w:after="0"/>
              <w:ind w:firstLine="0"/>
              <w:jc w:val="center"/>
            </w:pPr>
            <w:r>
              <w:rPr>
                <w:b w:val="0"/>
                <w:sz w:val="18"/>
              </w:rPr>
              <w:t>同上</w:t>
            </w:r>
          </w:p>
        </w:tc>
      </w:tr>
      <w:tr>
        <w:trPr>
          <w:cantSplit/>
        </w:trPr>
        <w:tc>
          <w:tcPr>
            <w:tcW w:type="dxa" w:w="737"/>
            <w:vAlign w:val="center"/>
            <w:tcMar>
              <w:top w:w="60" w:type="dxa"/>
              <w:bottom w:w="60" w:type="dxa"/>
              <w:left w:w="95" w:type="dxa"/>
              <w:right w:w="95" w:type="dxa"/>
            </w:tcMar>
            <w:shd w:fill="FFFFFF"/>
          </w:tcPr>
          <w:p>
            <w:pPr>
              <w:keepNext/>
              <w:spacing w:line="283" w:lineRule="auto" w:after="0"/>
              <w:ind w:firstLine="0"/>
            </w:pPr>
            <w:r>
              <w:rPr>
                <w:b w:val="0"/>
                <w:sz w:val="18"/>
              </w:rPr>
              <w:t>E04</w:t>
            </w:r>
          </w:p>
        </w:tc>
        <w:tc>
          <w:tcPr>
            <w:tcW w:type="dxa" w:w="4876"/>
            <w:vAlign w:val="center"/>
            <w:tcMar>
              <w:top w:w="60" w:type="dxa"/>
              <w:bottom w:w="60" w:type="dxa"/>
              <w:left w:w="95" w:type="dxa"/>
              <w:right w:w="95" w:type="dxa"/>
            </w:tcMar>
            <w:shd w:fill="FFFFFF"/>
          </w:tcPr>
          <w:p>
            <w:pPr>
              <w:keepNext/>
              <w:spacing w:line="283" w:lineRule="auto" w:after="0"/>
              <w:ind w:firstLine="0"/>
            </w:pPr>
            <w:r>
              <w:rPr>
                <w:b w:val="0"/>
                <w:sz w:val="18"/>
              </w:rPr>
            </w:r>
            <w:hyperlink r:id="rId20">
              <w:r>
                <w:rPr>
                  <w:color w:val="000000"/>
                  <w:u w:val="single"/>
                </w:rPr>
                <w:t>三组参数卡</w:t>
              </w:r>
            </w:hyperlink>
            <w:r>
              <w:rPr>
                <w:b w:val="0"/>
                <w:sz w:val="18"/>
              </w:rPr>
              <w:t>与</w:t>
            </w:r>
            <w:hyperlink r:id="rId21">
              <w:r>
                <w:rPr>
                  <w:color w:val="000000"/>
                  <w:u w:val="single"/>
                </w:rPr>
                <w:t>比较JSON</w:t>
              </w:r>
            </w:hyperlink>
            <w:r>
              <w:rPr>
                <w:b w:val="0"/>
                <w:sz w:val="18"/>
              </w:rPr>
            </w:r>
          </w:p>
        </w:tc>
        <w:tc>
          <w:tcPr>
            <w:tcW w:type="dxa" w:w="3458"/>
            <w:vAlign w:val="center"/>
            <w:tcMar>
              <w:top w:w="60" w:type="dxa"/>
              <w:bottom w:w="60" w:type="dxa"/>
              <w:left w:w="95" w:type="dxa"/>
              <w:right w:w="95" w:type="dxa"/>
            </w:tcMar>
            <w:shd w:fill="FFFFFF"/>
          </w:tcPr>
          <w:p>
            <w:pPr>
              <w:keepNext/>
              <w:spacing w:line="283" w:lineRule="auto" w:after="0"/>
              <w:ind w:firstLine="0"/>
              <w:jc w:val="center"/>
            </w:pPr>
            <w:r>
              <w:rPr>
                <w:b w:val="0"/>
                <w:sz w:val="18"/>
              </w:rPr>
              <w:t>三组Suite参数和统一统计</w:t>
            </w:r>
          </w:p>
        </w:tc>
      </w:tr>
      <w:tr>
        <w:trPr>
          <w:cantSplit/>
        </w:trPr>
        <w:tc>
          <w:tcPr>
            <w:tcW w:type="dxa" w:w="737"/>
            <w:vAlign w:val="center"/>
            <w:tcMar>
              <w:top w:w="60" w:type="dxa"/>
              <w:bottom w:w="60" w:type="dxa"/>
              <w:left w:w="95" w:type="dxa"/>
              <w:right w:w="95" w:type="dxa"/>
            </w:tcMar>
            <w:shd w:fill="FFFFFF"/>
          </w:tcPr>
          <w:p>
            <w:pPr>
              <w:keepNext/>
              <w:spacing w:line="283" w:lineRule="auto" w:after="0"/>
              <w:ind w:firstLine="0"/>
            </w:pPr>
            <w:r>
              <w:rPr>
                <w:b w:val="0"/>
                <w:sz w:val="18"/>
              </w:rPr>
              <w:t>E05</w:t>
            </w:r>
          </w:p>
        </w:tc>
        <w:tc>
          <w:tcPr>
            <w:tcW w:type="dxa" w:w="4876"/>
            <w:vAlign w:val="center"/>
            <w:tcMar>
              <w:top w:w="60" w:type="dxa"/>
              <w:bottom w:w="60" w:type="dxa"/>
              <w:left w:w="95" w:type="dxa"/>
              <w:right w:w="95" w:type="dxa"/>
            </w:tcMar>
            <w:shd w:fill="FFFFFF"/>
          </w:tcPr>
          <w:p>
            <w:pPr>
              <w:keepNext/>
              <w:spacing w:line="283" w:lineRule="auto" w:after="0"/>
              <w:ind w:firstLine="0"/>
            </w:pPr>
            <w:r>
              <w:rPr>
                <w:b w:val="0"/>
                <w:sz w:val="18"/>
              </w:rPr>
            </w:r>
            <w:hyperlink r:id="rId22">
              <w:r>
                <w:rPr>
                  <w:color w:val="000000"/>
                  <w:u w:val="single"/>
                </w:rPr>
                <w:t>IBS接入盘点与C64B</w:t>
              </w:r>
            </w:hyperlink>
            <w:r>
              <w:rPr>
                <w:b w:val="0"/>
                <w:sz w:val="18"/>
              </w:rPr>
            </w:r>
          </w:p>
        </w:tc>
        <w:tc>
          <w:tcPr>
            <w:tcW w:type="dxa" w:w="3458"/>
            <w:vAlign w:val="center"/>
            <w:tcMar>
              <w:top w:w="60" w:type="dxa"/>
              <w:bottom w:w="60" w:type="dxa"/>
              <w:left w:w="95" w:type="dxa"/>
              <w:right w:w="95" w:type="dxa"/>
            </w:tcMar>
            <w:shd w:fill="FFFFFF"/>
          </w:tcPr>
          <w:p>
            <w:pPr>
              <w:keepNext/>
              <w:spacing w:line="283" w:lineRule="auto" w:after="0"/>
              <w:ind w:firstLine="0"/>
              <w:jc w:val="center"/>
            </w:pPr>
            <w:r>
              <w:rPr>
                <w:b w:val="0"/>
                <w:sz w:val="18"/>
              </w:rPr>
              <w:t>实际默认入口与C64B完整运行</w:t>
            </w:r>
          </w:p>
        </w:tc>
      </w:tr>
      <w:tr>
        <w:trPr>
          <w:cantSplit/>
        </w:trPr>
        <w:tc>
          <w:tcPr>
            <w:tcW w:type="dxa" w:w="737"/>
            <w:vAlign w:val="center"/>
            <w:tcMar>
              <w:top w:w="60" w:type="dxa"/>
              <w:bottom w:w="60" w:type="dxa"/>
              <w:left w:w="95" w:type="dxa"/>
              <w:right w:w="95" w:type="dxa"/>
            </w:tcMar>
            <w:shd w:fill="FFFFFF"/>
          </w:tcPr>
          <w:p>
            <w:pPr>
              <w:keepNext/>
              <w:spacing w:line="283" w:lineRule="auto" w:after="0"/>
              <w:ind w:firstLine="0"/>
            </w:pPr>
            <w:r>
              <w:rPr>
                <w:b w:val="0"/>
                <w:sz w:val="18"/>
              </w:rPr>
              <w:t>E06</w:t>
            </w:r>
          </w:p>
        </w:tc>
        <w:tc>
          <w:tcPr>
            <w:tcW w:type="dxa" w:w="4876"/>
            <w:vAlign w:val="center"/>
            <w:tcMar>
              <w:top w:w="60" w:type="dxa"/>
              <w:bottom w:w="60" w:type="dxa"/>
              <w:left w:w="95" w:type="dxa"/>
              <w:right w:w="95" w:type="dxa"/>
            </w:tcMar>
            <w:shd w:fill="FFFFFF"/>
          </w:tcPr>
          <w:p>
            <w:pPr>
              <w:keepNext/>
              <w:spacing w:line="283" w:lineRule="auto" w:after="0"/>
              <w:ind w:firstLine="0"/>
            </w:pPr>
            <w:r>
              <w:rPr>
                <w:b w:val="0"/>
                <w:sz w:val="18"/>
              </w:rPr>
            </w:r>
            <w:hyperlink r:id="rId23">
              <w:r>
                <w:rPr>
                  <w:color w:val="000000"/>
                  <w:u w:val="single"/>
                </w:rPr>
                <w:t>共同框架真实接入</w:t>
              </w:r>
            </w:hyperlink>
            <w:r>
              <w:rPr>
                <w:b w:val="0"/>
                <w:sz w:val="18"/>
              </w:rPr>
              <w:t>与</w:t>
            </w:r>
            <w:hyperlink r:id="rId24">
              <w:r>
                <w:rPr>
                  <w:color w:val="000000"/>
                  <w:u w:val="single"/>
                </w:rPr>
                <w:t>CHKP及Luo</w:t>
              </w:r>
            </w:hyperlink>
            <w:r>
              <w:rPr>
                <w:b w:val="0"/>
                <w:sz w:val="18"/>
              </w:rPr>
            </w:r>
          </w:p>
        </w:tc>
        <w:tc>
          <w:tcPr>
            <w:tcW w:type="dxa" w:w="3458"/>
            <w:vAlign w:val="center"/>
            <w:tcMar>
              <w:top w:w="60" w:type="dxa"/>
              <w:bottom w:w="60" w:type="dxa"/>
              <w:left w:w="95" w:type="dxa"/>
              <w:right w:w="95" w:type="dxa"/>
            </w:tcMar>
            <w:shd w:fill="FFFFFF"/>
          </w:tcPr>
          <w:p>
            <w:pPr>
              <w:keepNext/>
              <w:spacing w:line="283" w:lineRule="auto" w:after="0"/>
              <w:ind w:firstLine="0"/>
              <w:jc w:val="center"/>
            </w:pPr>
            <w:r>
              <w:rPr>
                <w:b w:val="0"/>
                <w:sz w:val="18"/>
              </w:rPr>
              <w:t>真实配对与CLI边界</w:t>
            </w:r>
          </w:p>
        </w:tc>
      </w:tr>
      <w:tr>
        <w:trPr>
          <w:cantSplit/>
        </w:trPr>
        <w:tc>
          <w:tcPr>
            <w:tcW w:type="dxa" w:w="737"/>
            <w:vAlign w:val="center"/>
            <w:tcMar>
              <w:top w:w="60" w:type="dxa"/>
              <w:bottom w:w="60" w:type="dxa"/>
              <w:left w:w="95" w:type="dxa"/>
              <w:right w:w="95" w:type="dxa"/>
            </w:tcMar>
            <w:shd w:fill="FFFFFF"/>
          </w:tcPr>
          <w:p>
            <w:pPr>
              <w:keepNext/>
              <w:spacing w:line="283" w:lineRule="auto" w:after="0"/>
              <w:ind w:firstLine="0"/>
            </w:pPr>
            <w:r>
              <w:rPr>
                <w:b w:val="0"/>
                <w:sz w:val="18"/>
              </w:rPr>
              <w:t>E07</w:t>
            </w:r>
          </w:p>
        </w:tc>
        <w:tc>
          <w:tcPr>
            <w:tcW w:type="dxa" w:w="4876"/>
            <w:vAlign w:val="center"/>
            <w:tcMar>
              <w:top w:w="60" w:type="dxa"/>
              <w:bottom w:w="60" w:type="dxa"/>
              <w:left w:w="95" w:type="dxa"/>
              <w:right w:w="95" w:type="dxa"/>
            </w:tcMar>
            <w:shd w:fill="FFFFFF"/>
          </w:tcPr>
          <w:p>
            <w:pPr>
              <w:keepNext/>
              <w:spacing w:line="283" w:lineRule="auto" w:after="0"/>
              <w:ind w:firstLine="0"/>
            </w:pPr>
            <w:r>
              <w:rPr>
                <w:b w:val="0"/>
                <w:sz w:val="18"/>
              </w:rPr>
            </w:r>
            <w:hyperlink r:id="rId25">
              <w:r>
                <w:rPr>
                  <w:color w:val="000000"/>
                  <w:u w:val="single"/>
                </w:rPr>
                <w:t>SRGG compact与论文参数基准</w:t>
              </w:r>
            </w:hyperlink>
            <w:r>
              <w:rPr>
                <w:b w:val="0"/>
                <w:sz w:val="18"/>
              </w:rPr>
            </w:r>
          </w:p>
        </w:tc>
        <w:tc>
          <w:tcPr>
            <w:tcW w:type="dxa" w:w="3458"/>
            <w:vAlign w:val="center"/>
            <w:tcMar>
              <w:top w:w="60" w:type="dxa"/>
              <w:bottom w:w="60" w:type="dxa"/>
              <w:left w:w="95" w:type="dxa"/>
              <w:right w:w="95" w:type="dxa"/>
            </w:tcMar>
            <w:shd w:fill="FFFFFF"/>
          </w:tcPr>
          <w:p>
            <w:pPr>
              <w:keepNext/>
              <w:spacing w:line="283" w:lineRule="auto" w:after="0"/>
              <w:ind w:firstLine="0"/>
              <w:jc w:val="center"/>
            </w:pPr>
            <w:r>
              <w:rPr>
                <w:b w:val="0"/>
                <w:sz w:val="18"/>
              </w:rPr>
              <w:t>单体采样签验恢复与编码</w:t>
            </w:r>
          </w:p>
        </w:tc>
      </w:tr>
      <w:tr>
        <w:trPr>
          <w:cantSplit/>
        </w:trPr>
        <w:tc>
          <w:tcPr>
            <w:tcW w:type="dxa" w:w="737"/>
            <w:vAlign w:val="center"/>
            <w:tcMar>
              <w:top w:w="60" w:type="dxa"/>
              <w:bottom w:w="60" w:type="dxa"/>
              <w:left w:w="95" w:type="dxa"/>
              <w:right w:w="95" w:type="dxa"/>
            </w:tcMar>
            <w:shd w:fill="FFFFFF"/>
          </w:tcPr>
          <w:p>
            <w:pPr>
              <w:keepNext/>
              <w:spacing w:line="283" w:lineRule="auto" w:after="0"/>
              <w:ind w:firstLine="0"/>
            </w:pPr>
            <w:r>
              <w:rPr>
                <w:b w:val="0"/>
                <w:sz w:val="18"/>
              </w:rPr>
              <w:t>E08</w:t>
            </w:r>
          </w:p>
        </w:tc>
        <w:tc>
          <w:tcPr>
            <w:tcW w:type="dxa" w:w="4876"/>
            <w:vAlign w:val="center"/>
            <w:tcMar>
              <w:top w:w="60" w:type="dxa"/>
              <w:bottom w:w="60" w:type="dxa"/>
              <w:left w:w="95" w:type="dxa"/>
              <w:right w:w="95" w:type="dxa"/>
            </w:tcMar>
            <w:shd w:fill="FFFFFF"/>
          </w:tcPr>
          <w:p>
            <w:pPr>
              <w:keepNext/>
              <w:spacing w:line="283" w:lineRule="auto" w:after="0"/>
              <w:ind w:firstLine="0"/>
            </w:pPr>
            <w:r>
              <w:rPr>
                <w:b w:val="0"/>
                <w:sz w:val="18"/>
              </w:rPr>
            </w:r>
            <w:hyperlink r:id="rId26">
              <w:r>
                <w:rPr>
                  <w:color w:val="000000"/>
                  <w:u w:val="single"/>
                </w:rPr>
                <w:t>算法总表</w:t>
              </w:r>
            </w:hyperlink>
            <w:r>
              <w:rPr>
                <w:b w:val="0"/>
                <w:sz w:val="18"/>
              </w:rPr>
            </w:r>
          </w:p>
        </w:tc>
        <w:tc>
          <w:tcPr>
            <w:tcW w:type="dxa" w:w="3458"/>
            <w:vAlign w:val="center"/>
            <w:tcMar>
              <w:top w:w="60" w:type="dxa"/>
              <w:bottom w:w="60" w:type="dxa"/>
              <w:left w:w="95" w:type="dxa"/>
              <w:right w:w="95" w:type="dxa"/>
            </w:tcMar>
            <w:shd w:fill="FFFFFF"/>
          </w:tcPr>
          <w:p>
            <w:pPr>
              <w:keepNext/>
              <w:spacing w:line="283" w:lineRule="auto" w:after="0"/>
              <w:ind w:firstLine="0"/>
              <w:jc w:val="center"/>
            </w:pPr>
            <w:r>
              <w:rPr>
                <w:b w:val="0"/>
                <w:sz w:val="18"/>
              </w:rPr>
              <w:t>19条路线和各独立交付入口</w:t>
            </w:r>
          </w:p>
        </w:tc>
      </w:tr>
      <w:tr>
        <w:trPr>
          <w:cantSplit/>
        </w:trPr>
        <w:tc>
          <w:tcPr>
            <w:tcW w:type="dxa" w:w="737"/>
            <w:vAlign w:val="center"/>
            <w:tcMar>
              <w:top w:w="60" w:type="dxa"/>
              <w:bottom w:w="60" w:type="dxa"/>
              <w:left w:w="95" w:type="dxa"/>
              <w:right w:w="95" w:type="dxa"/>
            </w:tcMar>
            <w:shd w:fill="FFFFFF"/>
          </w:tcPr>
          <w:p>
            <w:pPr>
              <w:keepNext/>
              <w:spacing w:line="283" w:lineRule="auto" w:after="0"/>
              <w:ind w:firstLine="0"/>
            </w:pPr>
            <w:r>
              <w:rPr>
                <w:b w:val="0"/>
                <w:sz w:val="18"/>
              </w:rPr>
              <w:t>E09</w:t>
            </w:r>
          </w:p>
        </w:tc>
        <w:tc>
          <w:tcPr>
            <w:tcW w:type="dxa" w:w="4876"/>
            <w:vAlign w:val="center"/>
            <w:tcMar>
              <w:top w:w="60" w:type="dxa"/>
              <w:bottom w:w="60" w:type="dxa"/>
              <w:left w:w="95" w:type="dxa"/>
              <w:right w:w="95" w:type="dxa"/>
            </w:tcMar>
            <w:shd w:fill="FFFFFF"/>
          </w:tcPr>
          <w:p>
            <w:pPr>
              <w:keepNext/>
              <w:spacing w:line="283" w:lineRule="auto" w:after="0"/>
              <w:ind w:firstLine="0"/>
            </w:pPr>
            <w:r>
              <w:rPr>
                <w:b w:val="0"/>
                <w:sz w:val="18"/>
              </w:rPr>
            </w:r>
            <w:hyperlink r:id="rId27">
              <w:r>
                <w:rPr>
                  <w:color w:val="000000"/>
                  <w:u w:val="single"/>
                </w:rPr>
                <w:t>高基数有界运行</w:t>
              </w:r>
            </w:hyperlink>
            <w:r>
              <w:rPr>
                <w:b w:val="0"/>
                <w:sz w:val="18"/>
              </w:rPr>
              <w:t>与</w:t>
            </w:r>
            <w:hyperlink r:id="rId28">
              <w:r>
                <w:rPr>
                  <w:color w:val="000000"/>
                  <w:u w:val="single"/>
                </w:rPr>
                <w:t>组件接收</w:t>
              </w:r>
            </w:hyperlink>
            <w:r>
              <w:rPr>
                <w:b w:val="0"/>
                <w:sz w:val="18"/>
              </w:rPr>
            </w:r>
          </w:p>
        </w:tc>
        <w:tc>
          <w:tcPr>
            <w:tcW w:type="dxa" w:w="3458"/>
            <w:vAlign w:val="center"/>
            <w:tcMar>
              <w:top w:w="60" w:type="dxa"/>
              <w:bottom w:w="60" w:type="dxa"/>
              <w:left w:w="95" w:type="dxa"/>
              <w:right w:w="95" w:type="dxa"/>
            </w:tcMar>
            <w:shd w:fill="FFFFFF"/>
          </w:tcPr>
          <w:p>
            <w:pPr>
              <w:keepNext/>
              <w:spacing w:line="283" w:lineRule="auto" w:after="0"/>
              <w:ind w:firstLine="0"/>
              <w:jc w:val="center"/>
            </w:pPr>
            <w:r>
              <w:rPr>
                <w:b w:val="0"/>
                <w:sz w:val="18"/>
              </w:rPr>
              <w:t>小规模组件与目标投影</w:t>
            </w:r>
          </w:p>
        </w:tc>
      </w:tr>
      <w:tr>
        <w:trPr>
          <w:cantSplit/>
        </w:trPr>
        <w:tc>
          <w:tcPr>
            <w:tcW w:type="dxa" w:w="737"/>
            <w:vAlign w:val="center"/>
            <w:tcMar>
              <w:top w:w="60" w:type="dxa"/>
              <w:bottom w:w="60" w:type="dxa"/>
              <w:left w:w="95" w:type="dxa"/>
              <w:right w:w="95" w:type="dxa"/>
            </w:tcMar>
            <w:shd w:fill="FFFFFF"/>
          </w:tcPr>
          <w:p>
            <w:pPr>
              <w:keepNext/>
              <w:spacing w:line="283" w:lineRule="auto" w:after="0"/>
              <w:ind w:firstLine="0"/>
            </w:pPr>
            <w:r>
              <w:rPr>
                <w:b w:val="0"/>
                <w:sz w:val="18"/>
              </w:rPr>
              <w:t>E10</w:t>
            </w:r>
          </w:p>
        </w:tc>
        <w:tc>
          <w:tcPr>
            <w:tcW w:type="dxa" w:w="4876"/>
            <w:vAlign w:val="center"/>
            <w:tcMar>
              <w:top w:w="60" w:type="dxa"/>
              <w:bottom w:w="60" w:type="dxa"/>
              <w:left w:w="95" w:type="dxa"/>
              <w:right w:w="95" w:type="dxa"/>
            </w:tcMar>
            <w:shd w:fill="FFFFFF"/>
          </w:tcPr>
          <w:p>
            <w:pPr>
              <w:keepNext/>
              <w:spacing w:line="283" w:lineRule="auto" w:after="0"/>
              <w:ind w:firstLine="0"/>
            </w:pPr>
            <w:r>
              <w:rPr>
                <w:b w:val="0"/>
                <w:sz w:val="18"/>
              </w:rPr>
            </w:r>
            <w:hyperlink r:id="rId29">
              <w:r>
                <w:rPr>
                  <w:color w:val="000000"/>
                  <w:u w:val="single"/>
                </w:rPr>
                <w:t>ABB紧边界资源材料</w:t>
              </w:r>
            </w:hyperlink>
            <w:r>
              <w:rPr>
                <w:b w:val="0"/>
                <w:sz w:val="18"/>
              </w:rPr>
            </w:r>
          </w:p>
        </w:tc>
        <w:tc>
          <w:tcPr>
            <w:tcW w:type="dxa" w:w="3458"/>
            <w:vAlign w:val="center"/>
            <w:tcMar>
              <w:top w:w="60" w:type="dxa"/>
              <w:bottom w:w="60" w:type="dxa"/>
              <w:left w:w="95" w:type="dxa"/>
              <w:right w:w="95" w:type="dxa"/>
            </w:tcMar>
            <w:shd w:fill="FFFFFF"/>
          </w:tcPr>
          <w:p>
            <w:pPr>
              <w:keepNext/>
              <w:spacing w:line="283" w:lineRule="auto" w:after="0"/>
              <w:ind w:firstLine="0"/>
              <w:jc w:val="center"/>
            </w:pPr>
            <w:r>
              <w:rPr>
                <w:b w:val="0"/>
                <w:sz w:val="18"/>
              </w:rPr>
              <w:t>公开参数算术与资源下界</w:t>
            </w:r>
          </w:p>
        </w:tc>
      </w:tr>
      <w:tr>
        <w:trPr>
          <w:cantSplit/>
        </w:trPr>
        <w:tc>
          <w:tcPr>
            <w:tcW w:type="dxa" w:w="737"/>
            <w:vAlign w:val="center"/>
            <w:tcMar>
              <w:top w:w="60" w:type="dxa"/>
              <w:bottom w:w="60" w:type="dxa"/>
              <w:left w:w="95" w:type="dxa"/>
              <w:right w:w="95" w:type="dxa"/>
            </w:tcMar>
            <w:shd w:fill="FFFFFF"/>
          </w:tcPr>
          <w:p>
            <w:pPr>
              <w:keepNext/>
              <w:spacing w:line="283" w:lineRule="auto" w:after="0"/>
              <w:ind w:firstLine="0"/>
            </w:pPr>
            <w:r>
              <w:rPr>
                <w:b w:val="0"/>
                <w:sz w:val="18"/>
              </w:rPr>
              <w:t>E11</w:t>
            </w:r>
          </w:p>
        </w:tc>
        <w:tc>
          <w:tcPr>
            <w:tcW w:type="dxa" w:w="4876"/>
            <w:vAlign w:val="center"/>
            <w:tcMar>
              <w:top w:w="60" w:type="dxa"/>
              <w:bottom w:w="60" w:type="dxa"/>
              <w:left w:w="95" w:type="dxa"/>
              <w:right w:w="95" w:type="dxa"/>
            </w:tcMar>
            <w:shd w:fill="FFFFFF"/>
          </w:tcPr>
          <w:p>
            <w:pPr>
              <w:keepNext/>
              <w:spacing w:line="283" w:lineRule="auto" w:after="0"/>
              <w:ind w:firstLine="0"/>
            </w:pPr>
            <w:r>
              <w:rPr>
                <w:b w:val="0"/>
                <w:sz w:val="18"/>
              </w:rPr>
            </w:r>
            <w:hyperlink r:id="rId30">
              <w:r>
                <w:rPr>
                  <w:color w:val="000000"/>
                  <w:u w:val="single"/>
                </w:rPr>
                <w:t>完整系统运行位置消融</w:t>
              </w:r>
            </w:hyperlink>
            <w:r>
              <w:rPr>
                <w:b w:val="0"/>
                <w:sz w:val="18"/>
              </w:rPr>
            </w:r>
          </w:p>
        </w:tc>
        <w:tc>
          <w:tcPr>
            <w:tcW w:type="dxa" w:w="3458"/>
            <w:vAlign w:val="center"/>
            <w:tcMar>
              <w:top w:w="60" w:type="dxa"/>
              <w:bottom w:w="60" w:type="dxa"/>
              <w:left w:w="95" w:type="dxa"/>
              <w:right w:w="95" w:type="dxa"/>
            </w:tcMar>
            <w:shd w:fill="FFFFFF"/>
          </w:tcPr>
          <w:p>
            <w:pPr>
              <w:keepNext/>
              <w:spacing w:line="283" w:lineRule="auto" w:after="0"/>
              <w:ind w:firstLine="0"/>
              <w:jc w:val="center"/>
            </w:pPr>
            <w:r>
              <w:rPr>
                <w:b w:val="0"/>
                <w:sz w:val="18"/>
              </w:rPr>
              <w:t>三路完整计时与版本校验</w:t>
            </w:r>
          </w:p>
        </w:tc>
      </w:tr>
      <w:tr>
        <w:trPr>
          <w:cantSplit/>
        </w:trPr>
        <w:tc>
          <w:tcPr>
            <w:tcW w:type="dxa" w:w="737"/>
            <w:vAlign w:val="center"/>
            <w:tcMar>
              <w:top w:w="60" w:type="dxa"/>
              <w:bottom w:w="60" w:type="dxa"/>
              <w:left w:w="95" w:type="dxa"/>
              <w:right w:w="95" w:type="dxa"/>
            </w:tcMar>
            <w:shd w:fill="FFFFFF"/>
          </w:tcPr>
          <w:p>
            <w:pPr>
              <w:keepNext w:val="0"/>
              <w:spacing w:line="283" w:lineRule="auto" w:after="0"/>
              <w:ind w:firstLine="0"/>
            </w:pPr>
            <w:r>
              <w:rPr>
                <w:b w:val="0"/>
                <w:sz w:val="18"/>
              </w:rPr>
              <w:t>E12</w:t>
            </w:r>
          </w:p>
        </w:tc>
        <w:tc>
          <w:tcPr>
            <w:tcW w:type="dxa" w:w="4876"/>
            <w:vAlign w:val="center"/>
            <w:tcMar>
              <w:top w:w="60" w:type="dxa"/>
              <w:bottom w:w="60" w:type="dxa"/>
              <w:left w:w="95" w:type="dxa"/>
              <w:right w:w="95" w:type="dxa"/>
            </w:tcMar>
            <w:shd w:fill="FFFFFF"/>
          </w:tcPr>
          <w:p>
            <w:pPr>
              <w:keepNext w:val="0"/>
              <w:spacing w:line="283" w:lineRule="auto" w:after="0"/>
              <w:ind w:firstLine="0"/>
            </w:pPr>
            <w:r>
              <w:rPr>
                <w:b w:val="0"/>
                <w:sz w:val="18"/>
              </w:rPr>
            </w:r>
            <w:hyperlink r:id="rId31">
              <w:r>
                <w:rPr>
                  <w:color w:val="000000"/>
                  <w:u w:val="single"/>
                </w:rPr>
                <w:t>演示实际验收</w:t>
              </w:r>
            </w:hyperlink>
            <w:r>
              <w:rPr>
                <w:b w:val="0"/>
                <w:sz w:val="18"/>
              </w:rPr>
              <w:t>与</w:t>
            </w:r>
            <w:hyperlink r:id="rId32">
              <w:r>
                <w:rPr>
                  <w:color w:val="000000"/>
                  <w:u w:val="single"/>
                </w:rPr>
                <w:t>后续审查</w:t>
              </w:r>
            </w:hyperlink>
            <w:r>
              <w:rPr>
                <w:b w:val="0"/>
                <w:sz w:val="18"/>
              </w:rPr>
            </w:r>
          </w:p>
        </w:tc>
        <w:tc>
          <w:tcPr>
            <w:tcW w:type="dxa" w:w="3458"/>
            <w:vAlign w:val="center"/>
            <w:tcMar>
              <w:top w:w="60" w:type="dxa"/>
              <w:bottom w:w="60" w:type="dxa"/>
              <w:left w:w="95" w:type="dxa"/>
              <w:right w:w="95" w:type="dxa"/>
            </w:tcMar>
            <w:shd w:fill="FFFFFF"/>
          </w:tcPr>
          <w:p>
            <w:pPr>
              <w:keepNext w:val="0"/>
              <w:spacing w:line="283" w:lineRule="auto" w:after="0"/>
              <w:ind w:firstLine="0"/>
              <w:jc w:val="center"/>
            </w:pPr>
            <w:r>
              <w:rPr>
                <w:b w:val="0"/>
                <w:sz w:val="18"/>
              </w:rPr>
              <w:t>Web与CLI及判定修订</w:t>
            </w:r>
          </w:p>
        </w:tc>
      </w:tr>
    </w:tbl>
    <w:p>
      <w:pPr>
        <w:spacing w:after="40" w:line="96" w:lineRule="auto"/>
      </w:pPr>
    </w:p>
    <w:p>
      <w:r>
        <w:rPr>
          <w:b w:val="0"/>
        </w:rPr>
        <w:t>重画图表使用本目录 build_report.py；生成Word需python-docx与Pillow，统计绘图需matplotlib。运行已有公开收据的只读检查可使用各证据目录check.py；真正重跑原语按原交付中的WSL Sage环境、原生构建与CSPRNG说明执行。报告构建与密码学复跑是不同操作。</w:t>
      </w:r>
    </w:p>
    <w:p>
      <w:r>
        <w:t>本稿写作参照仓库</w:t>
      </w:r>
      <w:hyperlink r:id="rId33">
        <w:r>
          <w:rPr>
            <w:color w:val="000000"/>
            <w:u w:val="single"/>
          </w:rPr>
          <w:t>2026年10月18日写作标准</w:t>
        </w:r>
      </w:hyperlink>
      <w:r>
        <w:rPr>
          <w:b w:val="0"/>
        </w:rPr>
        <w:t>及用户提供的两份2025年报告：crystal队《车联网级后量子密码算法融合优化方案》、有刺无刺队《面向全同态加密方案的噪声增长与计算效率优化》。只借鉴章节组织、指标先行与图表解释，不转用其数据、创新结论、作品编号或本届提交要求。参考PDF与其提取文本不随本稿提交。</w:t>
      </w:r>
    </w:p>
    <w:p>
      <w:pPr>
        <w:pStyle w:val="Heading1"/>
        <w:pageBreakBefore/>
      </w:pPr>
      <w:r>
        <w:t>参考文献</w:t>
      </w:r>
    </w:p>
    <w:p>
      <w:pPr>
        <w:spacing w:line="276" w:lineRule="auto" w:after="100"/>
        <w:ind w:firstLine="0"/>
      </w:pPr>
      <w:r>
        <w:rPr>
          <w:b w:val="0"/>
          <w:sz w:val="21"/>
        </w:rPr>
        <w:t>[1] Yuejun Wang, Baocang Wang, Qiqi Lai, Yu Zhan. Identity-based Matchmaking Encryption with Stronger Security and Instantiation on Lattices. Theoretical Computer Science. DOI 10.1016/j.tcs.2024.115048. 固定本地稿见 papers/2022_identity_matchmaking_wang.pdf，Construction 1及相关图表。</w:t>
      </w:r>
    </w:p>
    <w:p>
      <w:pPr>
        <w:spacing w:line="276" w:lineRule="auto" w:after="100"/>
        <w:ind w:firstLine="0"/>
      </w:pPr>
      <w:r>
        <w:rPr>
          <w:b w:val="0"/>
          <w:sz w:val="21"/>
        </w:rPr>
        <w:t>[2] David Cash, Dennis Hofheinz, Eike Kiltz, Chris Peikert. Bonsai Trees, or How to Delegate a Lattice Basis. EUROCRYPT 2010，固定作者全文2011年6月14日版，§5。</w:t>
      </w:r>
    </w:p>
    <w:p>
      <w:pPr>
        <w:spacing w:line="276" w:lineRule="auto" w:after="100"/>
        <w:ind w:firstLine="0"/>
      </w:pPr>
      <w:r>
        <w:rPr>
          <w:b w:val="0"/>
          <w:sz w:val="21"/>
        </w:rPr>
        <w:t>[3] Shweta Agrawal, Dan Boneh, Xavier Boyen. Efficient Lattice (H)IBE in the Standard Model. 2010，固定40页作者全文，§7与§8的结论范围分别使用。</w:t>
      </w:r>
    </w:p>
    <w:p>
      <w:pPr>
        <w:spacing w:line="276" w:lineRule="auto" w:after="100"/>
        <w:ind w:firstLine="0"/>
      </w:pPr>
      <w:r>
        <w:rPr>
          <w:b w:val="0"/>
          <w:sz w:val="21"/>
        </w:rPr>
        <w:t>[4] Raymond K. Zhao, Sarah McCarthy, Ron Steinfeld, Amin Sakzad, Máire O’Neill. Quantum-safe HIBE: does it cost a LATTE? IEEE Transactions on Information Forensics and Security，固定作者接受稿。</w:t>
      </w:r>
    </w:p>
    <w:p>
      <w:pPr>
        <w:spacing w:line="276" w:lineRule="auto" w:after="100"/>
        <w:ind w:firstLine="0"/>
      </w:pPr>
      <w:r>
        <w:rPr>
          <w:b w:val="0"/>
          <w:sz w:val="21"/>
        </w:rPr>
        <w:t>[5] Pingbin Luo, Xinjian Chen, Willy Susilo, Qiong Huang. Identity-Based Signature from Lattices without Trapdoors. ICICS 2024，§3与§4。</w:t>
      </w:r>
    </w:p>
    <w:p>
      <w:pPr>
        <w:spacing w:line="276" w:lineRule="auto" w:after="100"/>
        <w:ind w:firstLine="0"/>
      </w:pPr>
      <w:r>
        <w:rPr>
          <w:b w:val="0"/>
          <w:sz w:val="21"/>
        </w:rPr>
        <w:t>[6] Huiwen Jia, Ying Liu, Chunming Tang, Lin Wang. Constructing Efficient Identity-Based Signatures on Lattices. IET Information Security, 2025. DOI 10.1049/ise2/6684889.</w:t>
      </w:r>
    </w:p>
    <w:p>
      <w:pPr>
        <w:spacing w:line="276" w:lineRule="auto" w:after="100"/>
        <w:ind w:firstLine="0"/>
      </w:pPr>
      <w:r>
        <w:rPr>
          <w:b w:val="0"/>
          <w:sz w:val="21"/>
        </w:rPr>
        <w:t>[7] Jiaxin Pan, Benedikt Wagner. Short Identity-Based Signatures with Tight Security from Lattices. PQCrypto 2021. DOI 10.1007/978-3-030-81293-5_19.</w:t>
      </w:r>
    </w:p>
    <w:p>
      <w:pPr>
        <w:spacing w:line="276" w:lineRule="auto" w:after="100"/>
        <w:ind w:firstLine="0"/>
      </w:pPr>
      <w:r>
        <w:rPr>
          <w:b w:val="0"/>
          <w:sz w:val="21"/>
        </w:rPr>
        <w:t>[8] Ernest Foo, Qinyi Li. Tightly Secure Lattice Identity-Based Signature in the Quantum Random Oracle Model. ACISP 2023. DOI 10.1007/978-3-031-35486-1_17.</w:t>
      </w:r>
    </w:p>
    <w:p>
      <w:pPr>
        <w:spacing w:line="276" w:lineRule="auto" w:after="100"/>
        <w:ind w:firstLine="0"/>
      </w:pPr>
      <w:r>
        <w:rPr>
          <w:b w:val="0"/>
          <w:sz w:val="21"/>
        </w:rPr>
        <w:t>[9] Qing Yu, Shengli Liu, Yiming Li. Identity-based signature and identity-based matchmaking encryption from lattices. Theoretical Computer Science, 2026. DOI 10.1016/j.tcs.2026.116152.</w:t>
      </w:r>
    </w:p>
    <w:p>
      <w:pPr>
        <w:spacing w:line="276" w:lineRule="auto" w:after="100"/>
        <w:ind w:firstLine="0"/>
      </w:pPr>
      <w:r>
        <w:rPr>
          <w:b w:val="0"/>
          <w:sz w:val="21"/>
        </w:rPr>
        <w:t>[10] Éric Sageloli, Pierre Pébereau, Pierrick Méaux, Céline Chevalier. Shorter and Faster Identity-Based Signatures with Tight Security in the (Q)ROM from Lattices. ACNS 2023. DOI 10.1007/978-3-031-33488-7_24. 使用HAL73页完整稿，§5至§8及附录E。</w:t>
      </w:r>
    </w:p>
    <w:p>
      <w:pPr>
        <w:spacing w:line="276" w:lineRule="auto" w:after="100"/>
        <w:ind w:firstLine="0"/>
      </w:pPr>
      <w:r>
        <w:rPr>
          <w:b w:val="0"/>
          <w:sz w:val="21"/>
        </w:rPr>
        <w:t>[11] David Galindo, Javier Herranz, Eike Kiltz. On the Generic Construction of Identity-Based Signatures with Additional Properties. ASIACRYPT 2006，§3与Theorem 1。本文据此引用认证转换的重述，不将其列为本作品原创。</w:t>
      </w:r>
    </w:p>
    <w:p>
      <w:pPr>
        <w:spacing w:line="276" w:lineRule="auto" w:after="100"/>
        <w:ind w:firstLine="0"/>
      </w:pPr>
      <w:r>
        <w:rPr>
          <w:b w:val="0"/>
          <w:sz w:val="21"/>
        </w:rPr>
        <w:t>[12] NIST. Module-Lattice-Based Digital Signature Standard. FIPS 204, 2024. 固定本地官方PDF与底层参数表。</w:t>
      </w:r>
    </w:p>
    <w:p>
      <w:pPr>
        <w:spacing w:line="276" w:lineRule="auto" w:after="100"/>
        <w:ind w:firstLine="0"/>
      </w:pPr>
      <w:r>
        <w:rPr>
          <w:b w:val="0"/>
          <w:sz w:val="21"/>
        </w:rPr>
        <w:t>[13] Pierre-Alain Fouque 等. Falcon Fast-Fourier Lattice-based Compact Signatures over NTRU. Specification v1.2, 2020.</w:t>
      </w:r>
    </w:p>
    <w:p>
      <w:pPr>
        <w:spacing w:line="276" w:lineRule="auto" w:after="100"/>
        <w:ind w:firstLine="0"/>
      </w:pPr>
      <w:r>
        <w:rPr>
          <w:b w:val="0"/>
          <w:sz w:val="21"/>
        </w:rPr>
        <w:t>[14] Daniele Micciancio, Chris Peikert. Trapdoors for Lattices Simpler Tighter Faster Smaller. EUROCRYPT 2012，固定本地2011年9月14日作者稿。</w:t>
      </w:r>
    </w:p>
    <w:p>
      <w:r>
        <w:t>以上文献的归档版本与文件指纹以</w:t>
      </w:r>
      <w:hyperlink r:id="rId34">
        <w:r>
          <w:rPr>
            <w:color w:val="000000"/>
            <w:u w:val="single"/>
          </w:rPr>
          <w:t>论文库索引</w:t>
        </w:r>
      </w:hyperlink>
      <w:r>
        <w:rPr>
          <w:b w:val="0"/>
        </w:rPr>
        <w:t>为准。正式成稿还需统一文献格式并完成第三方代码与许可证清单；当前引用不替代该清单。</w:t>
      </w:r>
    </w:p>
    <w:sectPr w:rsidR="00FC693F" w:rsidRPr="0006063C" w:rsidSect="00034616">
      <w:headerReference w:type="default" r:id="rId9"/>
      <w:footerReference w:type="default" r:id="rId10"/>
      <w:pgSz w:w="11906" w:h="16838"/>
      <w:pgMar w:top="1247" w:right="1417" w:bottom="1247" w:left="1417"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身份基匹配加密通用设计与优化实现  研究报告初稿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00"/>
      <w:ind w:firstLine="440"/>
    </w:pPr>
    <w:rPr>
      <w:rFonts w:ascii="Times New Roman" w:hAnsi="Times New Roman" w:eastAsia="宋体"/>
      <w:b w:val="0"/>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Times New Roman" w:hAnsi="Times New Roman" w:eastAsia="宋体"/>
      <w:b w:val="0"/>
      <w:i w:val="0"/>
      <w:color w:val="000000"/>
      <w:sz w:val="18"/>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Times New Roman" w:hAnsi="Times New Roman" w:eastAsia="宋体"/>
      <w:b w:val="0"/>
      <w:i w:val="0"/>
      <w:color w:val="000000"/>
      <w:sz w:val="18"/>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00"/>
      <w:ind w:firstLine="0"/>
      <w:outlineLvl w:val="0"/>
    </w:pPr>
    <w:rPr>
      <w:rFonts w:cstheme="majorBidi" w:ascii="Times New Roman" w:hAnsi="Times New Roman" w:eastAsia="黑体"/>
      <w:b/>
      <w:bCs/>
      <w:i w:val="0"/>
      <w:color w:val="000000"/>
      <w:sz w:val="34"/>
      <w:szCs w:val="28"/>
      <w:u w:val="none"/>
    </w:rPr>
  </w:style>
  <w:style w:type="paragraph" w:styleId="Heading2">
    <w:name w:val="heading 2"/>
    <w:basedOn w:val="Normal"/>
    <w:next w:val="Normal"/>
    <w:link w:val="Heading2Char"/>
    <w:uiPriority w:val="9"/>
    <w:unhideWhenUsed/>
    <w:qFormat/>
    <w:rsid w:val="00FC693F"/>
    <w:pPr>
      <w:keepNext/>
      <w:keepLines/>
      <w:spacing w:before="280" w:after="200"/>
      <w:ind w:firstLine="0"/>
      <w:outlineLvl w:val="1"/>
    </w:pPr>
    <w:rPr>
      <w:rFonts w:cstheme="majorBidi" w:ascii="Times New Roman" w:hAnsi="Times New Roman" w:eastAsia="黑体"/>
      <w:b/>
      <w:bCs/>
      <w:i w:val="0"/>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80" w:after="200"/>
      <w:ind w:firstLine="0"/>
      <w:outlineLvl w:val="2"/>
    </w:pPr>
    <w:rPr>
      <w:rFonts w:cstheme="majorBidi" w:ascii="Times New Roman" w:hAnsi="Times New Roman" w:eastAsia="黑体"/>
      <w:b/>
      <w:bCs/>
      <w:i w:val="0"/>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280"/>
      <w:ind w:firstLine="0"/>
      <w:contextualSpacing/>
    </w:pPr>
    <w:rPr>
      <w:rFonts w:cstheme="majorBidi" w:ascii="Times New Roman" w:hAnsi="Times New Roman" w:eastAsia="黑体"/>
      <w:b/>
      <w:i w:val="0"/>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200"/>
      <w:ind w:firstLine="0"/>
    </w:pPr>
    <w:rPr>
      <w:rFonts w:cstheme="majorBidi" w:ascii="Times New Roman" w:hAnsi="Times New Roman" w:eastAsia="黑体"/>
      <w:b w:val="0"/>
      <w:i w:val="0"/>
      <w:iCs/>
      <w:color w:val="000000"/>
      <w:spacing w:val="15"/>
      <w:sz w:val="28"/>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b w:val="0"/>
      <w:i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rFonts w:ascii="Times New Roman" w:hAnsi="Times New Roman" w:eastAsia="宋体"/>
      <w:b w:val="0"/>
      <w:bCs/>
      <w:i w:val="0"/>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github.com/youzi258/IB-ME-from-HIBE-IBS/blob/b92967b92a94a4f8e18ae177ea299167b60aac67/docs/research/2026-10-18-full-system-baseline/README.md" TargetMode="External"/><Relationship Id="rId18" Type="http://schemas.openxmlformats.org/officeDocument/2006/relationships/hyperlink" Target="https://github.com/youzi258/IB-ME-from-HIBE-IBS/blob/b92967b92a94a4f8e18ae177ea299167b60aac67/docs/research/2026-10-18-full-system-falcon/README.md" TargetMode="External"/><Relationship Id="rId19" Type="http://schemas.openxmlformats.org/officeDocument/2006/relationships/hyperlink" Target="https://github.com/youzi258/IB-ME-from-HIBE-IBS/blob/b92967b92a94a4f8e18ae177ea299167b60aac67/docs/research/2026-10-18-full-system-luo/README.md" TargetMode="External"/><Relationship Id="rId20" Type="http://schemas.openxmlformats.org/officeDocument/2006/relationships/hyperlink" Target="https://github.com/youzi258/IB-ME-from-HIBE-IBS/blob/b92967b92a94a4f8e18ae177ea299167b60aac67/docs/deliveries/2026-10-18-main-showcase-cards/README.md" TargetMode="External"/><Relationship Id="rId21" Type="http://schemas.openxmlformats.org/officeDocument/2006/relationships/hyperlink" Target="https://github.com/youzi258/IB-ME-from-HIBE-IBS/blob/b92967b92a94a4f8e18ae177ea299167b60aac67/docs/research/2026-10-18-full-system-luo/evidence/comparison.json" TargetMode="External"/><Relationship Id="rId22" Type="http://schemas.openxmlformats.org/officeDocument/2006/relationships/hyperlink" Target="https://github.com/youzi258/IB-ME-from-HIBE-IBS/blob/b92967b92a94a4f8e18ae177ea299167b60aac67/docs/deliveries/2026-10-18-ibs-inventory/README.md" TargetMode="External"/><Relationship Id="rId23" Type="http://schemas.openxmlformats.org/officeDocument/2006/relationships/hyperlink" Target="https://github.com/youzi258/IB-ME-from-HIBE-IBS/blob/b92967b92a94a4f8e18ae177ea299167b60aac67/docs/research/team-c-delivery/2026-10-15-c-framework/README.md" TargetMode="External"/><Relationship Id="rId24" Type="http://schemas.openxmlformats.org/officeDocument/2006/relationships/hyperlink" Target="https://github.com/youzi258/IB-ME-from-HIBE-IBS/blob/b92967b92a94a4f8e18ae177ea299167b60aac67/docs/deliveries/2026-10-12-chkp-luo/README.md" TargetMode="External"/><Relationship Id="rId25" Type="http://schemas.openxmlformats.org/officeDocument/2006/relationships/hyperlink" Target="https://github.com/youzi258/IB-ME-from-HIBE-IBS/blob/b92967b92a94a4f8e18ae177ea299167b60aac67/docs/research/team-b-delivery/2026-10-18-srgg-compact-benchmark/README_zh-CN.md" TargetMode="External"/><Relationship Id="rId26" Type="http://schemas.openxmlformats.org/officeDocument/2006/relationships/hyperlink" Target="https://github.com/youzi258/IB-ME-from-HIBE-IBS/blob/b92967b92a94a4f8e18ae177ea299167b60aac67/docs/ALGORITHM_CATALOG.md" TargetMode="External"/><Relationship Id="rId27" Type="http://schemas.openxmlformats.org/officeDocument/2006/relationships/hyperlink" Target="https://github.com/youzi258/IB-ME-from-HIBE-IBS/blob/b92967b92a94a4f8e18ae177ea299167b60aac67/docs/research/team-a-delivery/2026-10-18-bounded-radix/README.md" TargetMode="External"/><Relationship Id="rId28" Type="http://schemas.openxmlformats.org/officeDocument/2006/relationships/hyperlink" Target="https://github.com/youzi258/IB-ME-from-HIBE-IBS/blob/b92967b92a94a4f8e18ae177ea299167b60aac67/docs/deliveries/2026-10-18-pr43-48-review/README.md" TargetMode="External"/><Relationship Id="rId29" Type="http://schemas.openxmlformats.org/officeDocument/2006/relationships/hyperlink" Target="https://github.com/youzi258/IB-ME-from-HIBE-IBS/blob/b92967b92a94a4f8e18ae177ea299167b60aac67/docs/research/team-a-delivery/2026-10-18-abb-tight-frontier/README.md" TargetMode="External"/><Relationship Id="rId30" Type="http://schemas.openxmlformats.org/officeDocument/2006/relationships/hyperlink" Target="https://github.com/youzi258/IB-ME-from-HIBE-IBS/blob/b92967b92a94a4f8e18ae177ea299167b60aac67/docs/research/2026-10-19-full-system-placement/README.md" TargetMode="External"/><Relationship Id="rId31" Type="http://schemas.openxmlformats.org/officeDocument/2006/relationships/hyperlink" Target="https://github.com/youzi258/IB-ME-from-HIBE-IBS/blob/b92967b92a94a4f8e18ae177ea299167b60aac67/docs/deliveries/2026-10-18-demo-acceptance/README.md" TargetMode="External"/><Relationship Id="rId32" Type="http://schemas.openxmlformats.org/officeDocument/2006/relationships/hyperlink" Target="https://github.com/youzi258/IB-ME-from-HIBE-IBS/blob/b92967b92a94a4f8e18ae177ea299167b60aac67/docs/deliveries/2026-10-19-pr-review/README.md" TargetMode="External"/><Relationship Id="rId33" Type="http://schemas.openxmlformats.org/officeDocument/2006/relationships/hyperlink" Target="https://github.com/youzi258/IB-ME-from-HIBE-IBS/blob/b92967b92a94a4f8e18ae177ea299167b60aac67/docs/workplans/2026-10-18-%E4%BD%9C%E5%93%81%E6%8A%A5%E5%91%8A%E8%A7%84%E5%88%92%E4%B8%8E%E6%88%90%E7%A8%BF%E6%B8%85%E5%8D%95.md" TargetMode="External"/><Relationship Id="rId34" Type="http://schemas.openxmlformats.org/officeDocument/2006/relationships/hyperlink" Target="https://github.com/youzi258/IB-ME-from-HIBE-IBS/blob/b92967b92a94a4f8e18ae177ea299167b60aac67/papers/index.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基于多类格困难假设的抗量子身份基匹配加密通用设计与优化实现</dc:title>
  <dc:subject>研究报告初稿 v0.1 依据2026年10月19日公开归档证据</dc:subject>
  <dc:creator>IB-ME项目组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