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480"/>
        <w:jc w:val="center"/>
        <w:rPr/>
      </w:pPr>
      <w:r>
        <w:rPr>
          <w:rFonts w:eastAsia="Times New Roman" w:cs="Times New Roman"/>
          <w:b/>
          <w:bCs/>
          <w:sz w:val="24"/>
          <w:szCs w:val="24"/>
        </w:rPr>
        <w:t>MULTIVARIATE CALIBRATION MODELING: MULTIPLE LINEAR REGRESSION WITH ENSEMBLE METHODS AND EVALUATION BY ROOT MEAN SQUARE ERROR OF PREDICTION</w:t>
      </w:r>
    </w:p>
    <w:p>
      <w:pPr>
        <w:pStyle w:val="Normal"/>
        <w:spacing w:before="0" w:after="60"/>
        <w:jc w:val="center"/>
        <w:rPr/>
      </w:pPr>
      <w:r>
        <w:rPr>
          <w:rFonts w:eastAsia="Times New Roman" w:cs="Times New Roman"/>
          <w:b/>
          <w:bCs/>
          <w:i/>
          <w:iCs/>
          <w:sz w:val="24"/>
          <w:szCs w:val="24"/>
        </w:rPr>
        <w:t>Wagner Oliveira de Araujo and Cid Nelson Silva</w:t>
      </w:r>
      <w:r>
        <w:rPr>
          <w:rFonts w:eastAsia="Times New Roman" w:cs="Times New Roman"/>
          <w:b/>
          <w:bCs/>
          <w:i/>
          <w:iCs/>
          <w:sz w:val="24"/>
          <w:szCs w:val="24"/>
          <w:vertAlign w:val="superscript"/>
        </w:rPr>
        <w:t>*</w:t>
      </w:r>
    </w:p>
    <w:p>
      <w:pPr>
        <w:pStyle w:val="Normal"/>
        <w:spacing w:before="0" w:after="60"/>
        <w:jc w:val="center"/>
        <w:rPr/>
      </w:pPr>
      <w:r>
        <w:rPr>
          <w:rFonts w:eastAsia="Times New Roman" w:cs="Times New Roman"/>
          <w:i/>
          <w:iCs/>
          <w:sz w:val="20"/>
          <w:szCs w:val="20"/>
        </w:rPr>
        <w:t>Instituto Federal de Educacao, Ciencia e Tecnologia de Goias (IFG), Campus Anapolis, Bacharelado em Ciencia da Computacao, Anapolis, GO, Brazil</w:t>
      </w:r>
    </w:p>
    <w:p>
      <w:pPr>
        <w:pStyle w:val="Normal"/>
        <w:spacing w:before="0" w:after="200"/>
        <w:jc w:val="center"/>
        <w:rPr/>
      </w:pPr>
      <w:r>
        <w:rPr>
          <w:rFonts w:eastAsia="Times New Roman" w:cs="Times New Roman"/>
          <w:i/>
          <w:iCs/>
          <w:sz w:val="20"/>
          <w:szCs w:val="20"/>
        </w:rPr>
        <w:t>*cid.silva@ifg.edu.br</w:t>
      </w:r>
    </w:p>
    <w:p>
      <w:pPr>
        <w:pStyle w:val="Normal"/>
        <w:spacing w:lineRule="auto" w:line="480"/>
        <w:jc w:val="both"/>
        <w:rPr/>
      </w:pPr>
      <w:r>
        <w:rPr>
          <w:rFonts w:eastAsia="Times New Roman" w:cs="Times New Roman"/>
          <w:sz w:val="24"/>
          <w:szCs w:val="24"/>
        </w:rPr>
        <w:t>This study investigates the application of resampling techniques — bagging and subagging — combined with Multiple Linear Regression (MLR) for multivariate calibration of steel alloy samples (Mn, Cr, Mo, Ni, Fe) analyzed by inductively coupled plasma optical emission spectrometry (ICP-OES). The spectral dataset comprises 723 variables per sample, with 17 calibration and up to 34 test samples per element, representing a high-dimensionality regime treated via Moore-Penrose pseudoinverse. Hyperparameter optimization was performed using 5-fold cross-validation applied exclusively to the calibration set. Results show no universally superior technique: MLR-subagging achieved the best RMSEP for Mn (0.0966) and Ni (1.6003); MLR-bagging was superior for Fe (RMSEP = 2.6406); classical MLR performed best for Mo and Cr. All models showed R</w:t>
      </w:r>
      <w:r>
        <w:rPr>
          <w:rFonts w:eastAsia="Times New Roman" w:cs="Times New Roman"/>
          <w:sz w:val="24"/>
          <w:szCs w:val="24"/>
          <w:vertAlign w:val="superscript"/>
        </w:rPr>
        <w:t>2</w:t>
      </w:r>
      <w:r>
        <w:rPr>
          <w:rFonts w:eastAsia="Times New Roman" w:cs="Times New Roman"/>
          <w:sz w:val="24"/>
          <w:szCs w:val="24"/>
        </w:rPr>
        <w:t xml:space="preserve"> &gt; 0.98. MLR-subagging was on average 3.0 times faster than MLR-bagging, making it a balanced alternative between accuracy and computational efficiency.</w:t>
      </w:r>
    </w:p>
    <w:p>
      <w:pPr>
        <w:pStyle w:val="Normal"/>
        <w:spacing w:before="0" w:after="200"/>
        <w:jc w:val="both"/>
        <w:rPr/>
      </w:pPr>
      <w:r>
        <w:rPr>
          <w:rFonts w:eastAsia="Times New Roman" w:cs="Times New Roman"/>
          <w:b/>
          <w:bCs/>
          <w:sz w:val="24"/>
          <w:szCs w:val="24"/>
        </w:rPr>
        <w:t xml:space="preserve">Keywords: </w:t>
      </w:r>
      <w:r>
        <w:rPr>
          <w:rFonts w:eastAsia="Times New Roman" w:cs="Times New Roman"/>
          <w:sz w:val="24"/>
          <w:szCs w:val="24"/>
        </w:rPr>
        <w:t>resampling; multivariate calibration; bagging; subagging; chemometrics; steel alloys.</w:t>
      </w:r>
    </w:p>
    <w:p>
      <w:pPr>
        <w:pStyle w:val="Normal"/>
        <w:spacing w:before="200" w:after="60"/>
        <w:jc w:val="left"/>
        <w:rPr/>
      </w:pPr>
      <w:r>
        <w:rPr>
          <w:rFonts w:eastAsia="Times New Roman" w:cs="Times New Roman"/>
          <w:b/>
          <w:bCs/>
          <w:caps/>
          <w:sz w:val="24"/>
          <w:szCs w:val="24"/>
        </w:rPr>
        <w:t>Introduction</w:t>
      </w:r>
    </w:p>
    <w:p>
      <w:pPr>
        <w:pStyle w:val="Normal"/>
        <w:spacing w:lineRule="auto" w:line="480"/>
        <w:ind w:firstLine="720"/>
        <w:jc w:val="both"/>
        <w:rPr/>
      </w:pPr>
      <w:r>
        <w:rPr>
          <w:rFonts w:eastAsia="Times New Roman" w:cs="Times New Roman"/>
          <w:sz w:val="24"/>
          <w:szCs w:val="24"/>
        </w:rPr>
        <w:t>Multivariate calibration plays a fundamental role in analytical chemistry and industrial quality control, enabling the extraction of quantitative information from complex spectral data.</w:t>
      </w:r>
    </w:p>
    <w:p>
      <w:pPr>
        <w:pStyle w:val="Normal"/>
        <w:spacing w:lineRule="auto" w:line="480"/>
        <w:ind w:firstLine="720"/>
        <w:jc w:val="both"/>
        <w:rPr/>
      </w:pPr>
      <w:r>
        <w:rPr/>
      </w:r>
    </w:p>
    <w:p>
      <w:pPr>
        <w:pStyle w:val="Normal"/>
        <w:spacing w:lineRule="auto" w:line="480"/>
        <w:ind w:firstLine="720"/>
        <w:jc w:val="both"/>
        <w:rPr/>
      </w:pPr>
      <w:r>
        <w:rPr/>
      </w:r>
    </w:p>
    <w:p>
      <w:pPr>
        <w:pStyle w:val="Normal"/>
        <w:spacing w:lineRule="auto" w:line="480"/>
        <w:ind w:firstLine="720"/>
        <w:jc w:val="both"/>
        <w:rPr/>
      </w:pPr>
      <w:r>
        <w:rPr>
          <w:rFonts w:eastAsia="Times New Roman" w:cs="Times New Roman"/>
          <w:sz w:val="24"/>
          <w:szCs w:val="24"/>
        </w:rPr>
        <w:t>This work aims to compare MLR, MLR-bagging and MLR-subagging for multivariate calibration of steel alloy spectra, evaluating predictive accuracy (RMSEP, MAE, R2) and computational efficiency. Hyperparameter selection is conducted by 5-fold cross-validation, ensuring methodological rigor and reproducibility.</w:t>
      </w:r>
    </w:p>
    <w:p>
      <w:pPr>
        <w:pStyle w:val="Normal"/>
        <w:spacing w:before="200" w:after="60"/>
        <w:jc w:val="left"/>
        <w:rPr/>
      </w:pPr>
      <w:r>
        <w:rPr>
          <w:rFonts w:eastAsia="Times New Roman" w:cs="Times New Roman"/>
          <w:b/>
          <w:bCs/>
          <w:caps/>
          <w:sz w:val="24"/>
          <w:szCs w:val="24"/>
        </w:rPr>
        <w:t>Experimental</w:t>
      </w:r>
    </w:p>
    <w:p>
      <w:pPr>
        <w:pStyle w:val="Normal"/>
        <w:spacing w:before="120" w:after="40"/>
        <w:jc w:val="left"/>
        <w:rPr/>
      </w:pPr>
      <w:r>
        <w:rPr>
          <w:rFonts w:eastAsia="Times New Roman" w:cs="Times New Roman"/>
          <w:b/>
          <w:bCs/>
          <w:sz w:val="24"/>
          <w:szCs w:val="24"/>
        </w:rPr>
        <w:t>Steel alloy dataset</w:t>
      </w:r>
    </w:p>
    <w:p>
      <w:pPr>
        <w:pStyle w:val="Normal"/>
        <w:spacing w:lineRule="auto" w:line="480"/>
        <w:ind w:firstLine="720"/>
        <w:jc w:val="both"/>
        <w:rPr/>
      </w:pPr>
      <w:r>
        <w:rPr/>
      </w:r>
    </w:p>
    <w:p>
      <w:pPr>
        <w:pStyle w:val="Normal"/>
        <w:spacing w:before="0" w:after="0"/>
        <w:rPr/>
      </w:pPr>
      <w:r>
        <w:rPr/>
      </w:r>
    </w:p>
    <w:p>
      <w:pPr>
        <w:pStyle w:val="Normal"/>
        <w:spacing w:before="80" w:after="60"/>
        <w:jc w:val="center"/>
        <w:rPr/>
      </w:pPr>
      <w:r>
        <w:rPr>
          <w:rFonts w:eastAsia="Times New Roman" w:cs="Times New Roman"/>
          <w:b/>
          <w:bCs/>
          <w:sz w:val="24"/>
          <w:szCs w:val="24"/>
        </w:rPr>
        <w:t>Table 1.</w:t>
      </w:r>
      <w:r>
        <w:rPr>
          <w:rFonts w:eastAsia="Times New Roman" w:cs="Times New Roman"/>
          <w:sz w:val="24"/>
          <w:szCs w:val="24"/>
        </w:rPr>
        <w:t xml:space="preserve"> Dimensions of calibration and test datasets for each analyte</w:t>
      </w:r>
    </w:p>
    <w:tbl>
      <w:tblPr>
        <w:tblW w:w="8800" w:type="dxa"/>
        <w:jc w:val="left"/>
        <w:tblInd w:w="7" w:type="dxa"/>
        <w:tblBorders>
          <w:top w:val="single" w:sz="8" w:space="0" w:color="000001"/>
          <w:bottom w:val="single" w:sz="8" w:space="0" w:color="000001"/>
          <w:insideH w:val="single" w:sz="8" w:space="0" w:color="000001"/>
        </w:tblBorders>
        <w:tblCellMar>
          <w:top w:w="60" w:type="dxa"/>
          <w:left w:w="120" w:type="dxa"/>
          <w:bottom w:w="60" w:type="dxa"/>
          <w:right w:w="120" w:type="dxa"/>
        </w:tblCellMar>
      </w:tblPr>
      <w:tblGrid>
        <w:gridCol w:w="1200"/>
        <w:gridCol w:w="3800"/>
        <w:gridCol w:w="3800"/>
      </w:tblGrid>
      <w:tr>
        <w:trPr/>
        <w:tc>
          <w:tcPr>
            <w:tcW w:w="1200" w:type="dxa"/>
            <w:tcBorders>
              <w:top w:val="single" w:sz="8" w:space="0" w:color="000001"/>
              <w:bottom w:val="single" w:sz="8" w:space="0" w:color="000001"/>
              <w:insideH w:val="single" w:sz="8" w:space="0" w:color="000001"/>
            </w:tcBorders>
            <w:shd w:fill="auto" w:val="clear"/>
          </w:tcPr>
          <w:p>
            <w:pPr>
              <w:pStyle w:val="Normal"/>
              <w:spacing w:before="0" w:after="0"/>
              <w:jc w:val="center"/>
              <w:rPr/>
            </w:pPr>
            <w:r>
              <w:rPr>
                <w:rFonts w:eastAsia="Times New Roman" w:cs="Times New Roman"/>
                <w:b/>
                <w:bCs/>
                <w:sz w:val="24"/>
                <w:szCs w:val="24"/>
              </w:rPr>
              <w:t>Element</w:t>
            </w:r>
          </w:p>
        </w:tc>
        <w:tc>
          <w:tcPr>
            <w:tcW w:w="3800" w:type="dxa"/>
            <w:tcBorders>
              <w:top w:val="single" w:sz="8" w:space="0" w:color="000001"/>
              <w:bottom w:val="single" w:sz="8" w:space="0" w:color="000001"/>
              <w:insideH w:val="single" w:sz="8" w:space="0" w:color="000001"/>
            </w:tcBorders>
            <w:shd w:fill="auto" w:val="clear"/>
          </w:tcPr>
          <w:p>
            <w:pPr>
              <w:pStyle w:val="Normal"/>
              <w:spacing w:before="0" w:after="0"/>
              <w:jc w:val="center"/>
              <w:rPr/>
            </w:pPr>
            <w:r>
              <w:rPr>
                <w:rFonts w:eastAsia="Times New Roman" w:cs="Times New Roman"/>
                <w:b/>
                <w:bCs/>
                <w:sz w:val="24"/>
                <w:szCs w:val="24"/>
              </w:rPr>
              <w:t>Calibration set</w:t>
            </w:r>
          </w:p>
        </w:tc>
        <w:tc>
          <w:tcPr>
            <w:tcW w:w="3800" w:type="dxa"/>
            <w:tcBorders>
              <w:top w:val="single" w:sz="8" w:space="0" w:color="000001"/>
              <w:bottom w:val="single" w:sz="8" w:space="0" w:color="000001"/>
              <w:insideH w:val="single" w:sz="8" w:space="0" w:color="000001"/>
            </w:tcBorders>
            <w:shd w:fill="auto" w:val="clear"/>
          </w:tcPr>
          <w:p>
            <w:pPr>
              <w:pStyle w:val="Normal"/>
              <w:spacing w:before="0" w:after="0"/>
              <w:jc w:val="center"/>
              <w:rPr/>
            </w:pPr>
            <w:r>
              <w:rPr>
                <w:rFonts w:eastAsia="Times New Roman" w:cs="Times New Roman"/>
                <w:b/>
                <w:bCs/>
                <w:sz w:val="24"/>
                <w:szCs w:val="24"/>
              </w:rPr>
              <w:t>Test set</w:t>
            </w:r>
          </w:p>
        </w:tc>
      </w:tr>
      <w:tr>
        <w:trPr/>
        <w:tc>
          <w:tcPr>
            <w:tcW w:w="1200" w:type="dxa"/>
            <w:tcBorders/>
            <w:shd w:fill="auto" w:val="clear"/>
          </w:tcPr>
          <w:p>
            <w:pPr>
              <w:pStyle w:val="Normal"/>
              <w:spacing w:before="0" w:after="0"/>
              <w:jc w:val="center"/>
              <w:rPr/>
            </w:pPr>
            <w:r>
              <w:rPr>
                <w:rFonts w:eastAsia="Times New Roman" w:cs="Times New Roman"/>
                <w:sz w:val="24"/>
                <w:szCs w:val="24"/>
              </w:rPr>
              <w:t>Mn</w:t>
            </w:r>
          </w:p>
        </w:tc>
        <w:tc>
          <w:tcPr>
            <w:tcW w:w="3800" w:type="dxa"/>
            <w:tcBorders/>
            <w:shd w:fill="auto" w:val="clear"/>
          </w:tcPr>
          <w:p>
            <w:pPr>
              <w:pStyle w:val="Normal"/>
              <w:spacing w:before="0" w:after="0"/>
              <w:jc w:val="center"/>
              <w:rPr/>
            </w:pPr>
            <w:r>
              <w:rPr>
                <w:rFonts w:eastAsia="Times New Roman" w:cs="Times New Roman"/>
                <w:sz w:val="24"/>
                <w:szCs w:val="24"/>
              </w:rPr>
              <w:t>Xcal (17x723), Ycal (17x1)</w:t>
            </w:r>
          </w:p>
        </w:tc>
        <w:tc>
          <w:tcPr>
            <w:tcW w:w="3800" w:type="dxa"/>
            <w:tcBorders/>
            <w:shd w:fill="auto" w:val="clear"/>
          </w:tcPr>
          <w:p>
            <w:pPr>
              <w:pStyle w:val="Normal"/>
              <w:spacing w:before="0" w:after="0"/>
              <w:jc w:val="center"/>
              <w:rPr/>
            </w:pPr>
            <w:r>
              <w:rPr>
                <w:rFonts w:eastAsia="Times New Roman" w:cs="Times New Roman"/>
                <w:sz w:val="24"/>
                <w:szCs w:val="24"/>
              </w:rPr>
              <w:t>Xtest (34x723), ytest (34x1)</w:t>
            </w:r>
          </w:p>
        </w:tc>
      </w:tr>
      <w:tr>
        <w:trPr/>
        <w:tc>
          <w:tcPr>
            <w:tcW w:w="1200" w:type="dxa"/>
            <w:tcBorders/>
            <w:shd w:fill="auto" w:val="clear"/>
          </w:tcPr>
          <w:p>
            <w:pPr>
              <w:pStyle w:val="Normal"/>
              <w:spacing w:before="0" w:after="0"/>
              <w:jc w:val="center"/>
              <w:rPr/>
            </w:pPr>
            <w:r>
              <w:rPr>
                <w:rFonts w:eastAsia="Times New Roman" w:cs="Times New Roman"/>
                <w:sz w:val="24"/>
                <w:szCs w:val="24"/>
              </w:rPr>
              <w:t>Mo</w:t>
            </w:r>
          </w:p>
        </w:tc>
        <w:tc>
          <w:tcPr>
            <w:tcW w:w="3800" w:type="dxa"/>
            <w:tcBorders/>
            <w:shd w:fill="auto" w:val="clear"/>
          </w:tcPr>
          <w:p>
            <w:pPr>
              <w:pStyle w:val="Normal"/>
              <w:spacing w:before="0" w:after="0"/>
              <w:jc w:val="center"/>
              <w:rPr/>
            </w:pPr>
            <w:r>
              <w:rPr>
                <w:rFonts w:eastAsia="Times New Roman" w:cs="Times New Roman"/>
                <w:sz w:val="24"/>
                <w:szCs w:val="24"/>
              </w:rPr>
              <w:t>Xcal (17x723), Ycal (17x1)</w:t>
            </w:r>
          </w:p>
        </w:tc>
        <w:tc>
          <w:tcPr>
            <w:tcW w:w="3800" w:type="dxa"/>
            <w:tcBorders/>
            <w:shd w:fill="auto" w:val="clear"/>
          </w:tcPr>
          <w:p>
            <w:pPr>
              <w:pStyle w:val="Normal"/>
              <w:spacing w:before="0" w:after="0"/>
              <w:jc w:val="center"/>
              <w:rPr/>
            </w:pPr>
            <w:r>
              <w:rPr>
                <w:rFonts w:eastAsia="Times New Roman" w:cs="Times New Roman"/>
                <w:sz w:val="24"/>
                <w:szCs w:val="24"/>
              </w:rPr>
              <w:t>Xtest (21x723), ytest (21x1)</w:t>
            </w:r>
          </w:p>
        </w:tc>
      </w:tr>
      <w:tr>
        <w:trPr/>
        <w:tc>
          <w:tcPr>
            <w:tcW w:w="1200" w:type="dxa"/>
            <w:tcBorders/>
            <w:shd w:fill="auto" w:val="clear"/>
          </w:tcPr>
          <w:p>
            <w:pPr>
              <w:pStyle w:val="Normal"/>
              <w:spacing w:before="0" w:after="0"/>
              <w:jc w:val="center"/>
              <w:rPr/>
            </w:pPr>
            <w:r>
              <w:rPr>
                <w:rFonts w:eastAsia="Times New Roman" w:cs="Times New Roman"/>
                <w:sz w:val="24"/>
                <w:szCs w:val="24"/>
              </w:rPr>
              <w:t>Cr</w:t>
            </w:r>
          </w:p>
        </w:tc>
        <w:tc>
          <w:tcPr>
            <w:tcW w:w="3800" w:type="dxa"/>
            <w:tcBorders/>
            <w:shd w:fill="auto" w:val="clear"/>
          </w:tcPr>
          <w:p>
            <w:pPr>
              <w:pStyle w:val="Normal"/>
              <w:spacing w:before="0" w:after="0"/>
              <w:jc w:val="center"/>
              <w:rPr/>
            </w:pPr>
            <w:r>
              <w:rPr>
                <w:rFonts w:eastAsia="Times New Roman" w:cs="Times New Roman"/>
                <w:sz w:val="24"/>
                <w:szCs w:val="24"/>
              </w:rPr>
              <w:t>Xcal (17x723), Ycal (17x1)</w:t>
            </w:r>
          </w:p>
        </w:tc>
        <w:tc>
          <w:tcPr>
            <w:tcW w:w="3800" w:type="dxa"/>
            <w:tcBorders/>
            <w:shd w:fill="auto" w:val="clear"/>
          </w:tcPr>
          <w:p>
            <w:pPr>
              <w:pStyle w:val="Normal"/>
              <w:spacing w:before="0" w:after="0"/>
              <w:jc w:val="center"/>
              <w:rPr/>
            </w:pPr>
            <w:r>
              <w:rPr>
                <w:rFonts w:eastAsia="Times New Roman" w:cs="Times New Roman"/>
                <w:sz w:val="24"/>
                <w:szCs w:val="24"/>
              </w:rPr>
              <w:t>Xtest (34x723), ytest (34x1)</w:t>
            </w:r>
          </w:p>
        </w:tc>
      </w:tr>
      <w:tr>
        <w:trPr/>
        <w:tc>
          <w:tcPr>
            <w:tcW w:w="1200" w:type="dxa"/>
            <w:tcBorders/>
            <w:shd w:fill="auto" w:val="clear"/>
          </w:tcPr>
          <w:p>
            <w:pPr>
              <w:pStyle w:val="Normal"/>
              <w:spacing w:before="0" w:after="0"/>
              <w:jc w:val="center"/>
              <w:rPr/>
            </w:pPr>
            <w:r>
              <w:rPr>
                <w:rFonts w:eastAsia="Times New Roman" w:cs="Times New Roman"/>
                <w:sz w:val="24"/>
                <w:szCs w:val="24"/>
              </w:rPr>
              <w:t>Ni</w:t>
            </w:r>
          </w:p>
        </w:tc>
        <w:tc>
          <w:tcPr>
            <w:tcW w:w="3800" w:type="dxa"/>
            <w:tcBorders/>
            <w:shd w:fill="auto" w:val="clear"/>
          </w:tcPr>
          <w:p>
            <w:pPr>
              <w:pStyle w:val="Normal"/>
              <w:spacing w:before="0" w:after="0"/>
              <w:jc w:val="center"/>
              <w:rPr/>
            </w:pPr>
            <w:r>
              <w:rPr>
                <w:rFonts w:eastAsia="Times New Roman" w:cs="Times New Roman"/>
                <w:sz w:val="24"/>
                <w:szCs w:val="24"/>
              </w:rPr>
              <w:t>Xcal (17x723), Ycal (17x1)</w:t>
            </w:r>
          </w:p>
        </w:tc>
        <w:tc>
          <w:tcPr>
            <w:tcW w:w="3800" w:type="dxa"/>
            <w:tcBorders/>
            <w:shd w:fill="auto" w:val="clear"/>
          </w:tcPr>
          <w:p>
            <w:pPr>
              <w:pStyle w:val="Normal"/>
              <w:spacing w:before="0" w:after="0"/>
              <w:jc w:val="center"/>
              <w:rPr/>
            </w:pPr>
            <w:r>
              <w:rPr>
                <w:rFonts w:eastAsia="Times New Roman" w:cs="Times New Roman"/>
                <w:sz w:val="24"/>
                <w:szCs w:val="24"/>
              </w:rPr>
              <w:t>Xtest (20x723), ytest (20x1)</w:t>
            </w:r>
          </w:p>
        </w:tc>
      </w:tr>
      <w:tr>
        <w:trPr/>
        <w:tc>
          <w:tcPr>
            <w:tcW w:w="1200" w:type="dxa"/>
            <w:tcBorders>
              <w:top w:val="single" w:sz="8" w:space="0" w:color="000001"/>
              <w:bottom w:val="single" w:sz="8" w:space="0" w:color="000001"/>
              <w:insideH w:val="single" w:sz="8" w:space="0" w:color="000001"/>
            </w:tcBorders>
            <w:shd w:fill="auto" w:val="clear"/>
          </w:tcPr>
          <w:p>
            <w:pPr>
              <w:pStyle w:val="Normal"/>
              <w:spacing w:before="0" w:after="0"/>
              <w:jc w:val="center"/>
              <w:rPr/>
            </w:pPr>
            <w:r>
              <w:rPr>
                <w:rFonts w:eastAsia="Times New Roman" w:cs="Times New Roman"/>
                <w:sz w:val="24"/>
                <w:szCs w:val="24"/>
              </w:rPr>
              <w:t>Fe</w:t>
            </w:r>
          </w:p>
        </w:tc>
        <w:tc>
          <w:tcPr>
            <w:tcW w:w="3800" w:type="dxa"/>
            <w:tcBorders>
              <w:top w:val="single" w:sz="8" w:space="0" w:color="000001"/>
              <w:bottom w:val="single" w:sz="8" w:space="0" w:color="000001"/>
              <w:insideH w:val="single" w:sz="8" w:space="0" w:color="000001"/>
            </w:tcBorders>
            <w:shd w:fill="auto" w:val="clear"/>
          </w:tcPr>
          <w:p>
            <w:pPr>
              <w:pStyle w:val="Normal"/>
              <w:spacing w:before="0" w:after="0"/>
              <w:jc w:val="center"/>
              <w:rPr/>
            </w:pPr>
            <w:r>
              <w:rPr>
                <w:rFonts w:eastAsia="Times New Roman" w:cs="Times New Roman"/>
                <w:sz w:val="24"/>
                <w:szCs w:val="24"/>
              </w:rPr>
              <w:t>Xcal (17x723), Ycal (17x1)</w:t>
            </w:r>
          </w:p>
        </w:tc>
        <w:tc>
          <w:tcPr>
            <w:tcW w:w="3800" w:type="dxa"/>
            <w:tcBorders>
              <w:top w:val="single" w:sz="8" w:space="0" w:color="000001"/>
              <w:bottom w:val="single" w:sz="8" w:space="0" w:color="000001"/>
              <w:insideH w:val="single" w:sz="8" w:space="0" w:color="000001"/>
            </w:tcBorders>
            <w:shd w:fill="auto" w:val="clear"/>
          </w:tcPr>
          <w:p>
            <w:pPr>
              <w:pStyle w:val="Normal"/>
              <w:spacing w:before="0" w:after="0"/>
              <w:jc w:val="center"/>
              <w:rPr/>
            </w:pPr>
            <w:r>
              <w:rPr>
                <w:rFonts w:eastAsia="Times New Roman" w:cs="Times New Roman"/>
                <w:sz w:val="24"/>
                <w:szCs w:val="24"/>
              </w:rPr>
              <w:t>Xtest (34x723), ytest (34x1)</w:t>
            </w:r>
          </w:p>
        </w:tc>
      </w:tr>
    </w:tbl>
    <w:p>
      <w:pPr>
        <w:pStyle w:val="Normal"/>
        <w:spacing w:before="60" w:after="120"/>
        <w:jc w:val="center"/>
        <w:rPr/>
      </w:pPr>
      <w:r>
        <w:rPr>
          <w:rFonts w:eastAsia="Times New Roman" w:cs="Times New Roman"/>
          <w:sz w:val="20"/>
          <w:szCs w:val="20"/>
        </w:rPr>
        <w:t>Each sample is represented by 723 spectral variables, yielding ~42 predictors per calibration observation.</w:t>
      </w:r>
    </w:p>
    <w:p>
      <w:pPr>
        <w:pStyle w:val="Normal"/>
        <w:spacing w:before="120" w:after="40"/>
        <w:jc w:val="left"/>
        <w:rPr/>
      </w:pPr>
      <w:r>
        <w:rPr>
          <w:rFonts w:eastAsia="Times New Roman" w:cs="Times New Roman"/>
          <w:b/>
          <w:bCs/>
          <w:sz w:val="24"/>
          <w:szCs w:val="24"/>
        </w:rPr>
        <w:t>Multiple Linear Regression</w:t>
      </w:r>
    </w:p>
    <w:p>
      <w:pPr>
        <w:pStyle w:val="Normal"/>
        <w:spacing w:lineRule="auto" w:line="480"/>
        <w:ind w:firstLine="720"/>
        <w:jc w:val="both"/>
        <w:rPr/>
      </w:pPr>
      <w:r>
        <w:rPr/>
      </w:r>
    </w:p>
    <w:p>
      <w:pPr>
        <w:pStyle w:val="Normal"/>
        <w:spacing w:before="60" w:after="60"/>
        <w:jc w:val="center"/>
        <w:rPr/>
      </w:pPr>
      <w:r>
        <w:rPr>
          <w:rFonts w:eastAsia="Times New Roman" w:cs="Times New Roman"/>
          <w:i/>
          <w:iCs/>
          <w:sz w:val="24"/>
          <w:szCs w:val="24"/>
        </w:rPr>
        <w:t>β̂ = X⁺y ≜ (X</w:t>
      </w:r>
      <w:r>
        <w:rPr>
          <w:rFonts w:eastAsia="Times New Roman" w:cs="Times New Roman"/>
          <w:sz w:val="24"/>
          <w:szCs w:val="24"/>
          <w:vertAlign w:val="superscript"/>
        </w:rPr>
        <w:t>T</w:t>
      </w:r>
      <w:r>
        <w:rPr>
          <w:rFonts w:eastAsia="Times New Roman" w:cs="Times New Roman"/>
          <w:i/>
          <w:iCs/>
          <w:sz w:val="24"/>
          <w:szCs w:val="24"/>
        </w:rPr>
        <w:t>X)⁻¹X</w:t>
      </w:r>
      <w:r>
        <w:rPr>
          <w:rFonts w:eastAsia="Times New Roman" w:cs="Times New Roman"/>
          <w:sz w:val="24"/>
          <w:szCs w:val="24"/>
          <w:vertAlign w:val="superscript"/>
        </w:rPr>
        <w:t>T</w:t>
      </w:r>
      <w:r>
        <w:rPr>
          <w:rFonts w:eastAsia="Times New Roman" w:cs="Times New Roman"/>
          <w:i/>
          <w:iCs/>
          <w:sz w:val="24"/>
          <w:szCs w:val="24"/>
        </w:rPr>
        <w:t>y    (1)</w:t>
      </w:r>
    </w:p>
    <w:p>
      <w:pPr>
        <w:pStyle w:val="Normal"/>
        <w:spacing w:lineRule="auto" w:line="480"/>
        <w:ind w:firstLine="720"/>
        <w:jc w:val="both"/>
        <w:rPr/>
      </w:pPr>
      <w:r>
        <w:rPr>
          <w:rFonts w:eastAsia="Times New Roman" w:cs="Times New Roman"/>
          <w:sz w:val="24"/>
          <w:szCs w:val="24"/>
        </w:rPr>
        <w:t>This formulation provides a unique solution even for under-determined systems (n &lt; p), as is inherent in high-dimensional spectrometric data.</w:t>
      </w:r>
    </w:p>
    <w:p>
      <w:pPr>
        <w:pStyle w:val="Normal"/>
        <w:spacing w:before="120" w:after="40"/>
        <w:jc w:val="left"/>
        <w:rPr/>
      </w:pPr>
      <w:r>
        <w:rPr>
          <w:rFonts w:eastAsia="Times New Roman" w:cs="Times New Roman"/>
          <w:b/>
          <w:bCs/>
          <w:sz w:val="24"/>
          <w:szCs w:val="24"/>
        </w:rPr>
        <w:t>Bagging and Subagging</w:t>
      </w:r>
    </w:p>
    <w:p>
      <w:pPr>
        <w:pStyle w:val="Normal"/>
        <w:spacing w:lineRule="auto" w:line="480"/>
        <w:ind w:firstLine="720"/>
        <w:jc w:val="both"/>
        <w:rPr/>
      </w:pPr>
      <w:r>
        <w:rPr/>
      </w:r>
    </w:p>
    <w:p>
      <w:pPr>
        <w:pStyle w:val="Normal"/>
        <w:spacing w:before="60" w:after="60"/>
        <w:jc w:val="center"/>
        <w:rPr/>
      </w:pPr>
      <w:r>
        <w:rPr>
          <w:rFonts w:eastAsia="Times New Roman" w:cs="Times New Roman"/>
          <w:sz w:val="24"/>
          <w:szCs w:val="24"/>
        </w:rPr>
        <w:t>ŷ̂</w:t>
      </w:r>
      <w:r>
        <w:rPr>
          <w:rFonts w:eastAsia="Times New Roman" w:cs="Times New Roman"/>
          <w:sz w:val="20"/>
          <w:szCs w:val="20"/>
          <w:vertAlign w:val="subscript"/>
        </w:rPr>
        <w:t>bag</w:t>
      </w:r>
      <w:r>
        <w:rPr>
          <w:rFonts w:eastAsia="Times New Roman" w:cs="Times New Roman"/>
          <w:sz w:val="24"/>
          <w:szCs w:val="24"/>
        </w:rPr>
        <w:t xml:space="preserve"> = (1/B) Σ</w:t>
      </w:r>
      <w:r>
        <w:rPr>
          <w:rFonts w:eastAsia="Times New Roman" w:cs="Times New Roman"/>
          <w:sz w:val="20"/>
          <w:szCs w:val="20"/>
          <w:vertAlign w:val="superscript"/>
        </w:rPr>
        <w:t>B</w:t>
      </w:r>
      <w:r>
        <w:rPr>
          <w:rFonts w:eastAsia="Times New Roman" w:cs="Times New Roman"/>
          <w:sz w:val="20"/>
          <w:szCs w:val="20"/>
          <w:vertAlign w:val="subscript"/>
        </w:rPr>
        <w:t>b=1</w:t>
      </w:r>
      <w:r>
        <w:rPr>
          <w:rFonts w:eastAsia="Times New Roman" w:cs="Times New Roman"/>
          <w:sz w:val="24"/>
          <w:szCs w:val="24"/>
        </w:rPr>
        <w:t xml:space="preserve"> ŷ̂(b)  (2)</w:t>
      </w:r>
    </w:p>
    <w:p>
      <w:pPr>
        <w:pStyle w:val="Normal"/>
        <w:spacing w:lineRule="auto" w:line="480"/>
        <w:ind w:firstLine="720"/>
        <w:jc w:val="both"/>
        <w:rPr/>
      </w:pPr>
      <w:r>
        <w:rPr/>
      </w:r>
    </w:p>
    <w:p>
      <w:pPr>
        <w:pStyle w:val="Normal"/>
        <w:spacing w:before="120" w:after="40"/>
        <w:jc w:val="left"/>
        <w:rPr/>
      </w:pPr>
      <w:r>
        <w:rPr>
          <w:rFonts w:eastAsia="Times New Roman" w:cs="Times New Roman"/>
          <w:b/>
          <w:bCs/>
          <w:sz w:val="24"/>
          <w:szCs w:val="24"/>
        </w:rPr>
        <w:t>Hyperparameter selection and evaluation metrics</w:t>
      </w:r>
    </w:p>
    <w:p>
      <w:pPr>
        <w:pStyle w:val="Normal"/>
        <w:spacing w:lineRule="auto" w:line="480"/>
        <w:ind w:firstLine="720"/>
        <w:jc w:val="both"/>
        <w:rPr/>
      </w:pPr>
      <w:r>
        <w:rPr/>
      </w:r>
    </w:p>
    <w:p>
      <w:pPr>
        <w:pStyle w:val="Normal"/>
        <w:spacing w:before="40" w:after="20"/>
        <w:jc w:val="center"/>
        <w:rPr/>
      </w:pPr>
      <w:r>
        <w:rPr>
          <w:rFonts w:eastAsia="Times New Roman" w:cs="Times New Roman"/>
          <w:sz w:val="24"/>
          <w:szCs w:val="24"/>
        </w:rPr>
        <w:t>RMSEP = √[ (1/n) Σ(ŷᵢ − yᵢ)² ]  (3)</w:t>
      </w:r>
    </w:p>
    <w:p>
      <w:pPr>
        <w:pStyle w:val="Normal"/>
        <w:spacing w:before="20" w:after="20"/>
        <w:jc w:val="center"/>
        <w:rPr/>
      </w:pPr>
      <w:r>
        <w:rPr>
          <w:rFonts w:eastAsia="Times New Roman" w:cs="Times New Roman"/>
          <w:sz w:val="24"/>
          <w:szCs w:val="24"/>
        </w:rPr>
        <w:t>MAE = (1/n) Σ |ŷᵢ − yᵢ|  (4)</w:t>
      </w:r>
    </w:p>
    <w:p>
      <w:pPr>
        <w:pStyle w:val="Normal"/>
        <w:spacing w:before="20" w:after="100"/>
        <w:jc w:val="center"/>
        <w:rPr/>
      </w:pPr>
      <w:r>
        <w:rPr>
          <w:rFonts w:eastAsia="Times New Roman" w:cs="Times New Roman"/>
          <w:sz w:val="24"/>
          <w:szCs w:val="24"/>
        </w:rPr>
        <w:t>R² = 1 − Σ(ŷᵢ − yᵢ)² / Σ(ȳ − yᵢ)²  (5)</w:t>
      </w:r>
    </w:p>
    <w:p>
      <w:pPr>
        <w:pStyle w:val="Normal"/>
        <w:spacing w:lineRule="auto" w:line="480"/>
        <w:ind w:firstLine="720"/>
        <w:jc w:val="both"/>
        <w:rPr/>
      </w:pPr>
      <w:r>
        <w:rPr>
          <w:rFonts w:eastAsia="Times New Roman" w:cs="Times New Roman"/>
          <w:sz w:val="24"/>
          <w:szCs w:val="24"/>
        </w:rPr>
        <w:t>All algorithms were implemented in Java SE-17 (Eclipse IDE 2025-09) using EJML 0.43.1 for matrix operations and JFreeChart 1.5.4 for visualization. Grid search covered m ∈ {5,10,20,30,50} and k ∈ {0.50; 0.60; 0.70; 0.80}.</w:t>
      </w:r>
    </w:p>
    <w:p>
      <w:pPr>
        <w:pStyle w:val="Normal"/>
        <w:spacing w:before="200" w:after="60"/>
        <w:jc w:val="left"/>
        <w:rPr/>
      </w:pPr>
      <w:r>
        <w:rPr>
          <w:rFonts w:eastAsia="Times New Roman" w:cs="Times New Roman"/>
          <w:b/>
          <w:bCs/>
          <w:caps/>
          <w:sz w:val="24"/>
          <w:szCs w:val="24"/>
        </w:rPr>
        <w:t>Results and Discussion</w:t>
      </w:r>
    </w:p>
    <w:p>
      <w:pPr>
        <w:pStyle w:val="Normal"/>
        <w:spacing w:before="120" w:after="40"/>
        <w:jc w:val="left"/>
        <w:rPr/>
      </w:pPr>
      <w:r>
        <w:rPr>
          <w:rFonts w:eastAsia="Times New Roman" w:cs="Times New Roman"/>
          <w:b/>
          <w:bCs/>
          <w:sz w:val="24"/>
          <w:szCs w:val="24"/>
        </w:rPr>
        <w:t>Predictive performance</w:t>
      </w:r>
    </w:p>
    <w:p>
      <w:pPr>
        <w:pStyle w:val="Normal"/>
        <w:spacing w:lineRule="auto" w:line="480"/>
        <w:ind w:firstLine="720"/>
        <w:jc w:val="both"/>
        <w:rPr/>
      </w:pPr>
      <w:r>
        <w:rPr/>
      </w:r>
    </w:p>
    <w:p>
      <w:pPr>
        <w:pStyle w:val="Normal"/>
        <w:spacing w:before="0" w:after="0"/>
        <w:rPr/>
      </w:pPr>
      <w:r>
        <w:rPr/>
      </w:r>
    </w:p>
    <w:p>
      <w:pPr>
        <w:pStyle w:val="Normal"/>
        <w:spacing w:before="80" w:after="60"/>
        <w:jc w:val="center"/>
        <w:rPr/>
      </w:pPr>
      <w:r>
        <w:rPr>
          <w:rFonts w:eastAsia="Times New Roman" w:cs="Times New Roman"/>
          <w:b/>
          <w:bCs/>
          <w:sz w:val="24"/>
          <w:szCs w:val="24"/>
        </w:rPr>
        <w:t>Table 2.</w:t>
      </w:r>
      <w:r>
        <w:rPr>
          <w:rFonts w:eastAsia="Times New Roman" w:cs="Times New Roman"/>
          <w:sz w:val="24"/>
          <w:szCs w:val="24"/>
        </w:rPr>
        <w:t xml:space="preserve"> Comparative performance of MLR, MLR-bagging and MLR-subagging for steel alloy elements. Optimized parameters: 5-fold CV (seed = 42). (*) Best RMSEP per element.</w:t>
      </w:r>
    </w:p>
    <w:tbl>
      <w:tblPr>
        <w:tblW w:w="9200" w:type="dxa"/>
        <w:jc w:val="left"/>
        <w:tblInd w:w="7" w:type="dxa"/>
        <w:tblBorders>
          <w:top w:val="single" w:sz="8" w:space="0" w:color="000001"/>
          <w:bottom w:val="single" w:sz="8" w:space="0" w:color="000001"/>
          <w:insideH w:val="single" w:sz="8" w:space="0" w:color="000001"/>
        </w:tblBorders>
        <w:tblCellMar>
          <w:top w:w="60" w:type="dxa"/>
          <w:left w:w="120" w:type="dxa"/>
          <w:bottom w:w="60" w:type="dxa"/>
          <w:right w:w="120" w:type="dxa"/>
        </w:tblCellMar>
      </w:tblPr>
      <w:tblGrid>
        <w:gridCol w:w="1200"/>
        <w:gridCol w:w="1399"/>
        <w:gridCol w:w="1551"/>
        <w:gridCol w:w="1550"/>
        <w:gridCol w:w="1550"/>
        <w:gridCol w:w="1949"/>
      </w:tblGrid>
      <w:tr>
        <w:trPr/>
        <w:tc>
          <w:tcPr>
            <w:tcW w:w="1200" w:type="dxa"/>
            <w:tcBorders>
              <w:top w:val="single" w:sz="8" w:space="0" w:color="000001"/>
              <w:bottom w:val="single" w:sz="8" w:space="0" w:color="000001"/>
              <w:insideH w:val="single" w:sz="8" w:space="0" w:color="000001"/>
            </w:tcBorders>
            <w:shd w:fill="D9D9D9" w:val="clear"/>
          </w:tcPr>
          <w:p>
            <w:pPr>
              <w:pStyle w:val="Normal"/>
              <w:spacing w:before="0" w:after="0"/>
              <w:jc w:val="center"/>
              <w:rPr/>
            </w:pPr>
            <w:r>
              <w:rPr>
                <w:rFonts w:eastAsia="Times New Roman" w:cs="Times New Roman"/>
                <w:b/>
                <w:bCs/>
                <w:sz w:val="24"/>
                <w:szCs w:val="24"/>
              </w:rPr>
              <w:t>Element</w:t>
            </w:r>
          </w:p>
        </w:tc>
        <w:tc>
          <w:tcPr>
            <w:tcW w:w="1399" w:type="dxa"/>
            <w:tcBorders>
              <w:top w:val="single" w:sz="8" w:space="0" w:color="000001"/>
              <w:bottom w:val="single" w:sz="8" w:space="0" w:color="000001"/>
              <w:insideH w:val="single" w:sz="8" w:space="0" w:color="000001"/>
            </w:tcBorders>
            <w:shd w:fill="D9D9D9" w:val="clear"/>
          </w:tcPr>
          <w:p>
            <w:pPr>
              <w:pStyle w:val="Normal"/>
              <w:spacing w:before="0" w:after="0"/>
              <w:jc w:val="center"/>
              <w:rPr/>
            </w:pPr>
            <w:r>
              <w:rPr>
                <w:rFonts w:eastAsia="Times New Roman" w:cs="Times New Roman"/>
                <w:b/>
                <w:bCs/>
                <w:sz w:val="24"/>
                <w:szCs w:val="24"/>
              </w:rPr>
              <w:t>Technique</w:t>
            </w:r>
          </w:p>
        </w:tc>
        <w:tc>
          <w:tcPr>
            <w:tcW w:w="1551" w:type="dxa"/>
            <w:tcBorders>
              <w:top w:val="single" w:sz="8" w:space="0" w:color="000001"/>
              <w:bottom w:val="single" w:sz="8" w:space="0" w:color="000001"/>
              <w:insideH w:val="single" w:sz="8" w:space="0" w:color="000001"/>
            </w:tcBorders>
            <w:shd w:fill="D9D9D9" w:val="clear"/>
          </w:tcPr>
          <w:p>
            <w:pPr>
              <w:pStyle w:val="Normal"/>
              <w:spacing w:before="0" w:after="0"/>
              <w:jc w:val="center"/>
              <w:rPr/>
            </w:pPr>
            <w:r>
              <w:rPr>
                <w:rFonts w:eastAsia="Times New Roman" w:cs="Times New Roman"/>
                <w:b/>
                <w:bCs/>
                <w:sz w:val="24"/>
                <w:szCs w:val="24"/>
              </w:rPr>
              <w:t>RMSEP</w:t>
            </w:r>
          </w:p>
        </w:tc>
        <w:tc>
          <w:tcPr>
            <w:tcW w:w="1550" w:type="dxa"/>
            <w:tcBorders>
              <w:top w:val="single" w:sz="8" w:space="0" w:color="000001"/>
              <w:bottom w:val="single" w:sz="8" w:space="0" w:color="000001"/>
              <w:insideH w:val="single" w:sz="8" w:space="0" w:color="000001"/>
            </w:tcBorders>
            <w:shd w:fill="D9D9D9" w:val="clear"/>
          </w:tcPr>
          <w:p>
            <w:pPr>
              <w:pStyle w:val="Normal"/>
              <w:spacing w:before="0" w:after="0"/>
              <w:jc w:val="center"/>
              <w:rPr/>
            </w:pPr>
            <w:r>
              <w:rPr>
                <w:rFonts w:eastAsia="Times New Roman" w:cs="Times New Roman"/>
                <w:b/>
                <w:bCs/>
                <w:sz w:val="24"/>
                <w:szCs w:val="24"/>
              </w:rPr>
              <w:t>MAE</w:t>
            </w:r>
          </w:p>
        </w:tc>
        <w:tc>
          <w:tcPr>
            <w:tcW w:w="1550" w:type="dxa"/>
            <w:tcBorders>
              <w:top w:val="single" w:sz="8" w:space="0" w:color="000001"/>
              <w:bottom w:val="single" w:sz="8" w:space="0" w:color="000001"/>
              <w:insideH w:val="single" w:sz="8" w:space="0" w:color="000001"/>
            </w:tcBorders>
            <w:shd w:fill="D9D9D9" w:val="clear"/>
          </w:tcPr>
          <w:p>
            <w:pPr>
              <w:pStyle w:val="Normal"/>
              <w:spacing w:before="0" w:after="0"/>
              <w:jc w:val="center"/>
              <w:rPr/>
            </w:pPr>
            <w:r>
              <w:rPr>
                <w:rFonts w:eastAsia="Times New Roman" w:cs="Times New Roman"/>
                <w:b/>
                <w:bCs/>
                <w:sz w:val="24"/>
                <w:szCs w:val="24"/>
              </w:rPr>
              <w:t>R²</w:t>
            </w:r>
          </w:p>
        </w:tc>
        <w:tc>
          <w:tcPr>
            <w:tcW w:w="1949" w:type="dxa"/>
            <w:tcBorders>
              <w:top w:val="single" w:sz="8" w:space="0" w:color="000001"/>
              <w:bottom w:val="single" w:sz="8" w:space="0" w:color="000001"/>
              <w:insideH w:val="single" w:sz="8" w:space="0" w:color="000001"/>
            </w:tcBorders>
            <w:shd w:fill="D9D9D9" w:val="clear"/>
          </w:tcPr>
          <w:p>
            <w:pPr>
              <w:pStyle w:val="Normal"/>
              <w:spacing w:before="0" w:after="0"/>
              <w:jc w:val="center"/>
              <w:rPr/>
            </w:pPr>
            <w:r>
              <w:rPr>
                <w:rFonts w:eastAsia="Times New Roman" w:cs="Times New Roman"/>
                <w:b/>
                <w:bCs/>
                <w:sz w:val="24"/>
                <w:szCs w:val="24"/>
              </w:rPr>
              <w:t>Time (ms)</w:t>
            </w:r>
          </w:p>
        </w:tc>
      </w:tr>
      <w:tr>
        <w:trPr/>
        <w:tc>
          <w:tcPr>
            <w:tcW w:w="1200" w:type="dxa"/>
            <w:vMerge w:val="restart"/>
            <w:tcBorders/>
            <w:shd w:fill="auto" w:val="clear"/>
            <w:vAlign w:val="center"/>
          </w:tcPr>
          <w:p>
            <w:pPr>
              <w:pStyle w:val="Normal"/>
              <w:spacing w:before="0" w:after="0"/>
              <w:jc w:val="center"/>
              <w:rPr/>
            </w:pPr>
            <w:r>
              <w:rPr>
                <w:rFonts w:eastAsia="Times New Roman" w:cs="Times New Roman"/>
                <w:sz w:val="24"/>
                <w:szCs w:val="24"/>
              </w:rPr>
              <w:t>Mn</w:t>
            </w:r>
          </w:p>
        </w:tc>
        <w:tc>
          <w:tcPr>
            <w:tcW w:w="1399" w:type="dxa"/>
            <w:tcBorders/>
            <w:shd w:fill="auto" w:val="clear"/>
          </w:tcPr>
          <w:p>
            <w:pPr>
              <w:pStyle w:val="Normal"/>
              <w:spacing w:before="0" w:after="0"/>
              <w:jc w:val="center"/>
              <w:rPr/>
            </w:pPr>
            <w:r>
              <w:rPr>
                <w:rFonts w:eastAsia="Times New Roman" w:cs="Times New Roman"/>
                <w:b w:val="false"/>
                <w:bCs w:val="false"/>
                <w:sz w:val="24"/>
                <w:szCs w:val="24"/>
              </w:rPr>
              <w:t>MLR</w:t>
            </w:r>
          </w:p>
        </w:tc>
        <w:tc>
          <w:tcPr>
            <w:tcW w:w="1551" w:type="dxa"/>
            <w:tcBorders/>
            <w:shd w:fill="auto" w:val="clear"/>
          </w:tcPr>
          <w:p>
            <w:pPr>
              <w:pStyle w:val="Normal"/>
              <w:spacing w:before="0" w:after="0"/>
              <w:jc w:val="center"/>
              <w:rPr/>
            </w:pPr>
            <w:r>
              <w:rPr>
                <w:rFonts w:eastAsia="Times New Roman" w:cs="Times New Roman"/>
                <w:b w:val="false"/>
                <w:bCs w:val="false"/>
                <w:sz w:val="24"/>
                <w:szCs w:val="24"/>
              </w:rPr>
              <w:t>0.1051</w:t>
            </w:r>
          </w:p>
        </w:tc>
        <w:tc>
          <w:tcPr>
            <w:tcW w:w="1550" w:type="dxa"/>
            <w:tcBorders/>
            <w:shd w:fill="auto" w:val="clear"/>
          </w:tcPr>
          <w:p>
            <w:pPr>
              <w:pStyle w:val="Normal"/>
              <w:spacing w:before="0" w:after="0"/>
              <w:jc w:val="center"/>
              <w:rPr/>
            </w:pPr>
            <w:r>
              <w:rPr>
                <w:rFonts w:eastAsia="Times New Roman" w:cs="Times New Roman"/>
                <w:b w:val="false"/>
                <w:bCs w:val="false"/>
                <w:sz w:val="24"/>
                <w:szCs w:val="24"/>
              </w:rPr>
              <w:t>0.0887</w:t>
            </w:r>
          </w:p>
        </w:tc>
        <w:tc>
          <w:tcPr>
            <w:tcW w:w="1550" w:type="dxa"/>
            <w:tcBorders/>
            <w:shd w:fill="auto" w:val="clear"/>
          </w:tcPr>
          <w:p>
            <w:pPr>
              <w:pStyle w:val="Normal"/>
              <w:spacing w:before="0" w:after="0"/>
              <w:jc w:val="center"/>
              <w:rPr/>
            </w:pPr>
            <w:r>
              <w:rPr>
                <w:rFonts w:eastAsia="Times New Roman" w:cs="Times New Roman"/>
                <w:b w:val="false"/>
                <w:bCs w:val="false"/>
                <w:sz w:val="24"/>
                <w:szCs w:val="24"/>
              </w:rPr>
              <w:t>0.9907</w:t>
            </w:r>
          </w:p>
        </w:tc>
        <w:tc>
          <w:tcPr>
            <w:tcW w:w="1949" w:type="dxa"/>
            <w:tcBorders/>
            <w:shd w:fill="auto" w:val="clear"/>
          </w:tcPr>
          <w:p>
            <w:pPr>
              <w:pStyle w:val="Normal"/>
              <w:spacing w:before="0" w:after="0"/>
              <w:jc w:val="center"/>
              <w:rPr/>
            </w:pPr>
            <w:r>
              <w:rPr>
                <w:rFonts w:eastAsia="Times New Roman" w:cs="Times New Roman"/>
                <w:b w:val="false"/>
                <w:bCs w:val="false"/>
                <w:sz w:val="24"/>
                <w:szCs w:val="24"/>
              </w:rPr>
              <w:t>2.4</w:t>
            </w:r>
          </w:p>
        </w:tc>
      </w:tr>
      <w:tr>
        <w:trPr/>
        <w:tc>
          <w:tcPr>
            <w:tcW w:w="1200" w:type="dxa"/>
            <w:vMerge w:val="continue"/>
            <w:tcBorders/>
            <w:shd w:fill="auto" w:val="clear"/>
            <w:tcMar>
              <w:top w:w="0" w:type="dxa"/>
              <w:left w:w="113" w:type="dxa"/>
              <w:bottom w:w="0" w:type="dxa"/>
              <w:right w:w="108" w:type="dxa"/>
            </w:tcMar>
          </w:tcPr>
          <w:p>
            <w:pPr>
              <w:pStyle w:val="Normal"/>
              <w:rPr/>
            </w:pPr>
            <w:r>
              <w:rPr/>
            </w:r>
          </w:p>
        </w:tc>
        <w:tc>
          <w:tcPr>
            <w:tcW w:w="1399" w:type="dxa"/>
            <w:tcBorders/>
            <w:shd w:fill="auto" w:val="clear"/>
          </w:tcPr>
          <w:p>
            <w:pPr>
              <w:pStyle w:val="Normal"/>
              <w:spacing w:before="0" w:after="0"/>
              <w:jc w:val="center"/>
              <w:rPr/>
            </w:pPr>
            <w:r>
              <w:rPr>
                <w:rFonts w:eastAsia="Times New Roman" w:cs="Times New Roman"/>
                <w:b w:val="false"/>
                <w:bCs w:val="false"/>
                <w:sz w:val="24"/>
                <w:szCs w:val="24"/>
              </w:rPr>
              <w:t>MLR-bagging</w:t>
            </w:r>
          </w:p>
        </w:tc>
        <w:tc>
          <w:tcPr>
            <w:tcW w:w="1551" w:type="dxa"/>
            <w:tcBorders/>
            <w:shd w:fill="auto" w:val="clear"/>
          </w:tcPr>
          <w:p>
            <w:pPr>
              <w:pStyle w:val="Normal"/>
              <w:spacing w:before="0" w:after="0"/>
              <w:jc w:val="center"/>
              <w:rPr/>
            </w:pPr>
            <w:r>
              <w:rPr>
                <w:rFonts w:eastAsia="Times New Roman" w:cs="Times New Roman"/>
                <w:b w:val="false"/>
                <w:bCs w:val="false"/>
                <w:sz w:val="24"/>
                <w:szCs w:val="24"/>
              </w:rPr>
              <w:t>0.1072</w:t>
            </w:r>
          </w:p>
        </w:tc>
        <w:tc>
          <w:tcPr>
            <w:tcW w:w="1550" w:type="dxa"/>
            <w:tcBorders/>
            <w:shd w:fill="auto" w:val="clear"/>
          </w:tcPr>
          <w:p>
            <w:pPr>
              <w:pStyle w:val="Normal"/>
              <w:spacing w:before="0" w:after="0"/>
              <w:jc w:val="center"/>
              <w:rPr/>
            </w:pPr>
            <w:r>
              <w:rPr>
                <w:rFonts w:eastAsia="Times New Roman" w:cs="Times New Roman"/>
                <w:b w:val="false"/>
                <w:bCs w:val="false"/>
                <w:sz w:val="24"/>
                <w:szCs w:val="24"/>
              </w:rPr>
              <w:t>0.0908</w:t>
            </w:r>
          </w:p>
        </w:tc>
        <w:tc>
          <w:tcPr>
            <w:tcW w:w="1550" w:type="dxa"/>
            <w:tcBorders/>
            <w:shd w:fill="auto" w:val="clear"/>
          </w:tcPr>
          <w:p>
            <w:pPr>
              <w:pStyle w:val="Normal"/>
              <w:spacing w:before="0" w:after="0"/>
              <w:jc w:val="center"/>
              <w:rPr/>
            </w:pPr>
            <w:r>
              <w:rPr>
                <w:rFonts w:eastAsia="Times New Roman" w:cs="Times New Roman"/>
                <w:b w:val="false"/>
                <w:bCs w:val="false"/>
                <w:sz w:val="24"/>
                <w:szCs w:val="24"/>
              </w:rPr>
              <w:t>0.9903</w:t>
            </w:r>
          </w:p>
        </w:tc>
        <w:tc>
          <w:tcPr>
            <w:tcW w:w="1949" w:type="dxa"/>
            <w:tcBorders/>
            <w:shd w:fill="auto" w:val="clear"/>
          </w:tcPr>
          <w:p>
            <w:pPr>
              <w:pStyle w:val="Normal"/>
              <w:spacing w:before="0" w:after="0"/>
              <w:jc w:val="center"/>
              <w:rPr/>
            </w:pPr>
            <w:r>
              <w:rPr>
                <w:rFonts w:eastAsia="Times New Roman" w:cs="Times New Roman"/>
                <w:b w:val="false"/>
                <w:bCs w:val="false"/>
                <w:sz w:val="24"/>
                <w:szCs w:val="24"/>
              </w:rPr>
              <w:t>68.2</w:t>
            </w:r>
          </w:p>
        </w:tc>
      </w:tr>
      <w:tr>
        <w:trPr/>
        <w:tc>
          <w:tcPr>
            <w:tcW w:w="1200" w:type="dxa"/>
            <w:vMerge w:val="continue"/>
            <w:tcBorders/>
            <w:shd w:fill="auto" w:val="clear"/>
            <w:tcMar>
              <w:top w:w="0" w:type="dxa"/>
              <w:left w:w="113" w:type="dxa"/>
              <w:bottom w:w="0" w:type="dxa"/>
              <w:right w:w="108" w:type="dxa"/>
            </w:tcMar>
          </w:tcPr>
          <w:p>
            <w:pPr>
              <w:pStyle w:val="Normal"/>
              <w:rPr/>
            </w:pPr>
            <w:r>
              <w:rPr/>
            </w:r>
          </w:p>
        </w:tc>
        <w:tc>
          <w:tcPr>
            <w:tcW w:w="1399" w:type="dxa"/>
            <w:tcBorders/>
            <w:shd w:fill="auto" w:val="clear"/>
          </w:tcPr>
          <w:p>
            <w:pPr>
              <w:pStyle w:val="Normal"/>
              <w:spacing w:before="0" w:after="0"/>
              <w:jc w:val="center"/>
              <w:rPr/>
            </w:pPr>
            <w:r>
              <w:rPr>
                <w:rFonts w:eastAsia="Times New Roman" w:cs="Times New Roman"/>
                <w:b/>
                <w:bCs/>
                <w:sz w:val="24"/>
                <w:szCs w:val="24"/>
              </w:rPr>
              <w:t>MLR-subagging*</w:t>
            </w:r>
          </w:p>
        </w:tc>
        <w:tc>
          <w:tcPr>
            <w:tcW w:w="1551" w:type="dxa"/>
            <w:tcBorders/>
            <w:shd w:fill="auto" w:val="clear"/>
          </w:tcPr>
          <w:p>
            <w:pPr>
              <w:pStyle w:val="Normal"/>
              <w:spacing w:before="0" w:after="0"/>
              <w:jc w:val="center"/>
              <w:rPr/>
            </w:pPr>
            <w:r>
              <w:rPr>
                <w:rFonts w:eastAsia="Times New Roman" w:cs="Times New Roman"/>
                <w:b/>
                <w:bCs/>
                <w:sz w:val="24"/>
                <w:szCs w:val="24"/>
              </w:rPr>
              <w:t>0.0966*</w:t>
            </w:r>
          </w:p>
        </w:tc>
        <w:tc>
          <w:tcPr>
            <w:tcW w:w="1550" w:type="dxa"/>
            <w:tcBorders/>
            <w:shd w:fill="auto" w:val="clear"/>
          </w:tcPr>
          <w:p>
            <w:pPr>
              <w:pStyle w:val="Normal"/>
              <w:spacing w:before="0" w:after="0"/>
              <w:jc w:val="center"/>
              <w:rPr/>
            </w:pPr>
            <w:r>
              <w:rPr>
                <w:rFonts w:eastAsia="Times New Roman" w:cs="Times New Roman"/>
                <w:b/>
                <w:bCs/>
                <w:sz w:val="24"/>
                <w:szCs w:val="24"/>
              </w:rPr>
              <w:t>0.0805*</w:t>
            </w:r>
          </w:p>
        </w:tc>
        <w:tc>
          <w:tcPr>
            <w:tcW w:w="1550" w:type="dxa"/>
            <w:tcBorders/>
            <w:shd w:fill="auto" w:val="clear"/>
          </w:tcPr>
          <w:p>
            <w:pPr>
              <w:pStyle w:val="Normal"/>
              <w:spacing w:before="0" w:after="0"/>
              <w:jc w:val="center"/>
              <w:rPr/>
            </w:pPr>
            <w:r>
              <w:rPr>
                <w:rFonts w:eastAsia="Times New Roman" w:cs="Times New Roman"/>
                <w:b/>
                <w:bCs/>
                <w:sz w:val="24"/>
                <w:szCs w:val="24"/>
              </w:rPr>
              <w:t>0.9922*</w:t>
            </w:r>
          </w:p>
        </w:tc>
        <w:tc>
          <w:tcPr>
            <w:tcW w:w="1949" w:type="dxa"/>
            <w:tcBorders/>
            <w:shd w:fill="auto" w:val="clear"/>
          </w:tcPr>
          <w:p>
            <w:pPr>
              <w:pStyle w:val="Normal"/>
              <w:spacing w:before="0" w:after="0"/>
              <w:jc w:val="center"/>
              <w:rPr/>
            </w:pPr>
            <w:r>
              <w:rPr>
                <w:rFonts w:eastAsia="Times New Roman" w:cs="Times New Roman"/>
                <w:b w:val="false"/>
                <w:bCs w:val="false"/>
                <w:sz w:val="24"/>
                <w:szCs w:val="24"/>
              </w:rPr>
              <w:t>17.1</w:t>
            </w:r>
          </w:p>
        </w:tc>
      </w:tr>
      <w:tr>
        <w:trPr/>
        <w:tc>
          <w:tcPr>
            <w:tcW w:w="1200" w:type="dxa"/>
            <w:vMerge w:val="restart"/>
            <w:tcBorders/>
            <w:shd w:fill="auto" w:val="clear"/>
            <w:vAlign w:val="center"/>
          </w:tcPr>
          <w:p>
            <w:pPr>
              <w:pStyle w:val="Normal"/>
              <w:spacing w:before="0" w:after="0"/>
              <w:jc w:val="center"/>
              <w:rPr/>
            </w:pPr>
            <w:r>
              <w:rPr>
                <w:rFonts w:eastAsia="Times New Roman" w:cs="Times New Roman"/>
                <w:sz w:val="24"/>
                <w:szCs w:val="24"/>
              </w:rPr>
              <w:t>Mo</w:t>
            </w:r>
          </w:p>
        </w:tc>
        <w:tc>
          <w:tcPr>
            <w:tcW w:w="1399" w:type="dxa"/>
            <w:tcBorders/>
            <w:shd w:fill="auto" w:val="clear"/>
          </w:tcPr>
          <w:p>
            <w:pPr>
              <w:pStyle w:val="Normal"/>
              <w:spacing w:before="0" w:after="0"/>
              <w:jc w:val="center"/>
              <w:rPr/>
            </w:pPr>
            <w:r>
              <w:rPr>
                <w:rFonts w:eastAsia="Times New Roman" w:cs="Times New Roman"/>
                <w:b/>
                <w:bCs/>
                <w:sz w:val="24"/>
                <w:szCs w:val="24"/>
              </w:rPr>
              <w:t>MLR*</w:t>
            </w:r>
          </w:p>
        </w:tc>
        <w:tc>
          <w:tcPr>
            <w:tcW w:w="1551" w:type="dxa"/>
            <w:tcBorders/>
            <w:shd w:fill="auto" w:val="clear"/>
          </w:tcPr>
          <w:p>
            <w:pPr>
              <w:pStyle w:val="Normal"/>
              <w:spacing w:before="0" w:after="0"/>
              <w:jc w:val="center"/>
              <w:rPr/>
            </w:pPr>
            <w:r>
              <w:rPr>
                <w:rFonts w:eastAsia="Times New Roman" w:cs="Times New Roman"/>
                <w:b/>
                <w:bCs/>
                <w:sz w:val="24"/>
                <w:szCs w:val="24"/>
              </w:rPr>
              <w:t>0.2633*</w:t>
            </w:r>
          </w:p>
        </w:tc>
        <w:tc>
          <w:tcPr>
            <w:tcW w:w="1550" w:type="dxa"/>
            <w:tcBorders/>
            <w:shd w:fill="auto" w:val="clear"/>
          </w:tcPr>
          <w:p>
            <w:pPr>
              <w:pStyle w:val="Normal"/>
              <w:spacing w:before="0" w:after="0"/>
              <w:jc w:val="center"/>
              <w:rPr/>
            </w:pPr>
            <w:r>
              <w:rPr>
                <w:rFonts w:eastAsia="Times New Roman" w:cs="Times New Roman"/>
                <w:b/>
                <w:bCs/>
                <w:sz w:val="24"/>
                <w:szCs w:val="24"/>
              </w:rPr>
              <w:t>0.1952*</w:t>
            </w:r>
          </w:p>
        </w:tc>
        <w:tc>
          <w:tcPr>
            <w:tcW w:w="1550" w:type="dxa"/>
            <w:tcBorders/>
            <w:shd w:fill="auto" w:val="clear"/>
          </w:tcPr>
          <w:p>
            <w:pPr>
              <w:pStyle w:val="Normal"/>
              <w:spacing w:before="0" w:after="0"/>
              <w:jc w:val="center"/>
              <w:rPr/>
            </w:pPr>
            <w:r>
              <w:rPr>
                <w:rFonts w:eastAsia="Times New Roman" w:cs="Times New Roman"/>
                <w:b/>
                <w:bCs/>
                <w:sz w:val="24"/>
                <w:szCs w:val="24"/>
              </w:rPr>
              <w:t>0.9882*</w:t>
            </w:r>
          </w:p>
        </w:tc>
        <w:tc>
          <w:tcPr>
            <w:tcW w:w="1949" w:type="dxa"/>
            <w:tcBorders/>
            <w:shd w:fill="auto" w:val="clear"/>
          </w:tcPr>
          <w:p>
            <w:pPr>
              <w:pStyle w:val="Normal"/>
              <w:spacing w:before="0" w:after="0"/>
              <w:jc w:val="center"/>
              <w:rPr/>
            </w:pPr>
            <w:r>
              <w:rPr>
                <w:rFonts w:eastAsia="Times New Roman" w:cs="Times New Roman"/>
                <w:b w:val="false"/>
                <w:bCs w:val="false"/>
                <w:sz w:val="24"/>
                <w:szCs w:val="24"/>
              </w:rPr>
              <w:t>2.4</w:t>
            </w:r>
          </w:p>
        </w:tc>
      </w:tr>
      <w:tr>
        <w:trPr/>
        <w:tc>
          <w:tcPr>
            <w:tcW w:w="1200" w:type="dxa"/>
            <w:vMerge w:val="continue"/>
            <w:tcBorders/>
            <w:shd w:fill="auto" w:val="clear"/>
            <w:tcMar>
              <w:top w:w="0" w:type="dxa"/>
              <w:left w:w="113" w:type="dxa"/>
              <w:bottom w:w="0" w:type="dxa"/>
              <w:right w:w="108" w:type="dxa"/>
            </w:tcMar>
          </w:tcPr>
          <w:p>
            <w:pPr>
              <w:pStyle w:val="Normal"/>
              <w:rPr/>
            </w:pPr>
            <w:r>
              <w:rPr/>
            </w:r>
          </w:p>
        </w:tc>
        <w:tc>
          <w:tcPr>
            <w:tcW w:w="1399" w:type="dxa"/>
            <w:tcBorders/>
            <w:shd w:fill="auto" w:val="clear"/>
          </w:tcPr>
          <w:p>
            <w:pPr>
              <w:pStyle w:val="Normal"/>
              <w:spacing w:before="0" w:after="0"/>
              <w:jc w:val="center"/>
              <w:rPr/>
            </w:pPr>
            <w:r>
              <w:rPr>
                <w:rFonts w:eastAsia="Times New Roman" w:cs="Times New Roman"/>
                <w:b w:val="false"/>
                <w:bCs w:val="false"/>
                <w:sz w:val="24"/>
                <w:szCs w:val="24"/>
              </w:rPr>
              <w:t>MLR-bagging</w:t>
            </w:r>
          </w:p>
        </w:tc>
        <w:tc>
          <w:tcPr>
            <w:tcW w:w="1551" w:type="dxa"/>
            <w:tcBorders/>
            <w:shd w:fill="auto" w:val="clear"/>
          </w:tcPr>
          <w:p>
            <w:pPr>
              <w:pStyle w:val="Normal"/>
              <w:spacing w:before="0" w:after="0"/>
              <w:jc w:val="center"/>
              <w:rPr/>
            </w:pPr>
            <w:r>
              <w:rPr>
                <w:rFonts w:eastAsia="Times New Roman" w:cs="Times New Roman"/>
                <w:b w:val="false"/>
                <w:bCs w:val="false"/>
                <w:sz w:val="24"/>
                <w:szCs w:val="24"/>
              </w:rPr>
              <w:t>0.3388</w:t>
            </w:r>
          </w:p>
        </w:tc>
        <w:tc>
          <w:tcPr>
            <w:tcW w:w="1550" w:type="dxa"/>
            <w:tcBorders/>
            <w:shd w:fill="auto" w:val="clear"/>
          </w:tcPr>
          <w:p>
            <w:pPr>
              <w:pStyle w:val="Normal"/>
              <w:spacing w:before="0" w:after="0"/>
              <w:jc w:val="center"/>
              <w:rPr/>
            </w:pPr>
            <w:r>
              <w:rPr>
                <w:rFonts w:eastAsia="Times New Roman" w:cs="Times New Roman"/>
                <w:b w:val="false"/>
                <w:bCs w:val="false"/>
                <w:sz w:val="24"/>
                <w:szCs w:val="24"/>
              </w:rPr>
              <w:t>0.2722</w:t>
            </w:r>
          </w:p>
        </w:tc>
        <w:tc>
          <w:tcPr>
            <w:tcW w:w="1550" w:type="dxa"/>
            <w:tcBorders/>
            <w:shd w:fill="auto" w:val="clear"/>
          </w:tcPr>
          <w:p>
            <w:pPr>
              <w:pStyle w:val="Normal"/>
              <w:spacing w:before="0" w:after="0"/>
              <w:jc w:val="center"/>
              <w:rPr/>
            </w:pPr>
            <w:r>
              <w:rPr>
                <w:rFonts w:eastAsia="Times New Roman" w:cs="Times New Roman"/>
                <w:b w:val="false"/>
                <w:bCs w:val="false"/>
                <w:sz w:val="24"/>
                <w:szCs w:val="24"/>
              </w:rPr>
              <w:t>0.9805</w:t>
            </w:r>
          </w:p>
        </w:tc>
        <w:tc>
          <w:tcPr>
            <w:tcW w:w="1949" w:type="dxa"/>
            <w:tcBorders/>
            <w:shd w:fill="auto" w:val="clear"/>
          </w:tcPr>
          <w:p>
            <w:pPr>
              <w:pStyle w:val="Normal"/>
              <w:spacing w:before="0" w:after="0"/>
              <w:jc w:val="center"/>
              <w:rPr/>
            </w:pPr>
            <w:r>
              <w:rPr>
                <w:rFonts w:eastAsia="Times New Roman" w:cs="Times New Roman"/>
                <w:b w:val="false"/>
                <w:bCs w:val="false"/>
                <w:sz w:val="24"/>
                <w:szCs w:val="24"/>
              </w:rPr>
              <w:t>67.5</w:t>
            </w:r>
          </w:p>
        </w:tc>
      </w:tr>
      <w:tr>
        <w:trPr/>
        <w:tc>
          <w:tcPr>
            <w:tcW w:w="1200" w:type="dxa"/>
            <w:vMerge w:val="continue"/>
            <w:tcBorders/>
            <w:shd w:fill="auto" w:val="clear"/>
            <w:tcMar>
              <w:top w:w="0" w:type="dxa"/>
              <w:left w:w="113" w:type="dxa"/>
              <w:bottom w:w="0" w:type="dxa"/>
              <w:right w:w="108" w:type="dxa"/>
            </w:tcMar>
          </w:tcPr>
          <w:p>
            <w:pPr>
              <w:pStyle w:val="Normal"/>
              <w:rPr/>
            </w:pPr>
            <w:r>
              <w:rPr/>
            </w:r>
          </w:p>
        </w:tc>
        <w:tc>
          <w:tcPr>
            <w:tcW w:w="1399" w:type="dxa"/>
            <w:tcBorders/>
            <w:shd w:fill="auto" w:val="clear"/>
          </w:tcPr>
          <w:p>
            <w:pPr>
              <w:pStyle w:val="Normal"/>
              <w:spacing w:before="0" w:after="0"/>
              <w:jc w:val="center"/>
              <w:rPr/>
            </w:pPr>
            <w:r>
              <w:rPr>
                <w:rFonts w:eastAsia="Times New Roman" w:cs="Times New Roman"/>
                <w:b w:val="false"/>
                <w:bCs w:val="false"/>
                <w:sz w:val="24"/>
                <w:szCs w:val="24"/>
              </w:rPr>
              <w:t>MLR-subagging</w:t>
            </w:r>
          </w:p>
        </w:tc>
        <w:tc>
          <w:tcPr>
            <w:tcW w:w="1551" w:type="dxa"/>
            <w:tcBorders/>
            <w:shd w:fill="auto" w:val="clear"/>
          </w:tcPr>
          <w:p>
            <w:pPr>
              <w:pStyle w:val="Normal"/>
              <w:spacing w:before="0" w:after="0"/>
              <w:jc w:val="center"/>
              <w:rPr/>
            </w:pPr>
            <w:r>
              <w:rPr>
                <w:rFonts w:eastAsia="Times New Roman" w:cs="Times New Roman"/>
                <w:b w:val="false"/>
                <w:bCs w:val="false"/>
                <w:sz w:val="24"/>
                <w:szCs w:val="24"/>
              </w:rPr>
              <w:t>0.2879</w:t>
            </w:r>
          </w:p>
        </w:tc>
        <w:tc>
          <w:tcPr>
            <w:tcW w:w="1550" w:type="dxa"/>
            <w:tcBorders/>
            <w:shd w:fill="auto" w:val="clear"/>
          </w:tcPr>
          <w:p>
            <w:pPr>
              <w:pStyle w:val="Normal"/>
              <w:spacing w:before="0" w:after="0"/>
              <w:jc w:val="center"/>
              <w:rPr/>
            </w:pPr>
            <w:r>
              <w:rPr>
                <w:rFonts w:eastAsia="Times New Roman" w:cs="Times New Roman"/>
                <w:b w:val="false"/>
                <w:bCs w:val="false"/>
                <w:sz w:val="24"/>
                <w:szCs w:val="24"/>
              </w:rPr>
              <w:t>0.2201</w:t>
            </w:r>
          </w:p>
        </w:tc>
        <w:tc>
          <w:tcPr>
            <w:tcW w:w="1550" w:type="dxa"/>
            <w:tcBorders/>
            <w:shd w:fill="auto" w:val="clear"/>
          </w:tcPr>
          <w:p>
            <w:pPr>
              <w:pStyle w:val="Normal"/>
              <w:spacing w:before="0" w:after="0"/>
              <w:jc w:val="center"/>
              <w:rPr/>
            </w:pPr>
            <w:r>
              <w:rPr>
                <w:rFonts w:eastAsia="Times New Roman" w:cs="Times New Roman"/>
                <w:b w:val="false"/>
                <w:bCs w:val="false"/>
                <w:sz w:val="24"/>
                <w:szCs w:val="24"/>
              </w:rPr>
              <w:t>0.9859</w:t>
            </w:r>
          </w:p>
        </w:tc>
        <w:tc>
          <w:tcPr>
            <w:tcW w:w="1949" w:type="dxa"/>
            <w:tcBorders/>
            <w:shd w:fill="auto" w:val="clear"/>
          </w:tcPr>
          <w:p>
            <w:pPr>
              <w:pStyle w:val="Normal"/>
              <w:spacing w:before="0" w:after="0"/>
              <w:jc w:val="center"/>
              <w:rPr/>
            </w:pPr>
            <w:r>
              <w:rPr>
                <w:rFonts w:eastAsia="Times New Roman" w:cs="Times New Roman"/>
                <w:b w:val="false"/>
                <w:bCs w:val="false"/>
                <w:sz w:val="24"/>
                <w:szCs w:val="24"/>
              </w:rPr>
              <w:t>46.8</w:t>
            </w:r>
          </w:p>
        </w:tc>
      </w:tr>
      <w:tr>
        <w:trPr/>
        <w:tc>
          <w:tcPr>
            <w:tcW w:w="1200" w:type="dxa"/>
            <w:vMerge w:val="restart"/>
            <w:tcBorders/>
            <w:shd w:fill="auto" w:val="clear"/>
            <w:vAlign w:val="center"/>
          </w:tcPr>
          <w:p>
            <w:pPr>
              <w:pStyle w:val="Normal"/>
              <w:spacing w:before="0" w:after="0"/>
              <w:jc w:val="center"/>
              <w:rPr/>
            </w:pPr>
            <w:r>
              <w:rPr>
                <w:rFonts w:eastAsia="Times New Roman" w:cs="Times New Roman"/>
                <w:sz w:val="24"/>
                <w:szCs w:val="24"/>
              </w:rPr>
              <w:t>Cr</w:t>
            </w:r>
          </w:p>
        </w:tc>
        <w:tc>
          <w:tcPr>
            <w:tcW w:w="1399" w:type="dxa"/>
            <w:tcBorders/>
            <w:shd w:fill="auto" w:val="clear"/>
          </w:tcPr>
          <w:p>
            <w:pPr>
              <w:pStyle w:val="Normal"/>
              <w:spacing w:before="0" w:after="0"/>
              <w:jc w:val="center"/>
              <w:rPr/>
            </w:pPr>
            <w:r>
              <w:rPr>
                <w:rFonts w:eastAsia="Times New Roman" w:cs="Times New Roman"/>
                <w:b/>
                <w:bCs/>
                <w:sz w:val="24"/>
                <w:szCs w:val="24"/>
              </w:rPr>
              <w:t>MLR*</w:t>
            </w:r>
          </w:p>
        </w:tc>
        <w:tc>
          <w:tcPr>
            <w:tcW w:w="1551" w:type="dxa"/>
            <w:tcBorders/>
            <w:shd w:fill="auto" w:val="clear"/>
          </w:tcPr>
          <w:p>
            <w:pPr>
              <w:pStyle w:val="Normal"/>
              <w:spacing w:before="0" w:after="0"/>
              <w:jc w:val="center"/>
              <w:rPr/>
            </w:pPr>
            <w:r>
              <w:rPr>
                <w:rFonts w:eastAsia="Times New Roman" w:cs="Times New Roman"/>
                <w:b/>
                <w:bCs/>
                <w:sz w:val="24"/>
                <w:szCs w:val="24"/>
              </w:rPr>
              <w:t>1.0798*</w:t>
            </w:r>
          </w:p>
        </w:tc>
        <w:tc>
          <w:tcPr>
            <w:tcW w:w="1550" w:type="dxa"/>
            <w:tcBorders/>
            <w:shd w:fill="auto" w:val="clear"/>
          </w:tcPr>
          <w:p>
            <w:pPr>
              <w:pStyle w:val="Normal"/>
              <w:spacing w:before="0" w:after="0"/>
              <w:jc w:val="center"/>
              <w:rPr/>
            </w:pPr>
            <w:r>
              <w:rPr>
                <w:rFonts w:eastAsia="Times New Roman" w:cs="Times New Roman"/>
                <w:b/>
                <w:bCs/>
                <w:sz w:val="24"/>
                <w:szCs w:val="24"/>
              </w:rPr>
              <w:t>0.8654*</w:t>
            </w:r>
          </w:p>
        </w:tc>
        <w:tc>
          <w:tcPr>
            <w:tcW w:w="1550" w:type="dxa"/>
            <w:tcBorders/>
            <w:shd w:fill="auto" w:val="clear"/>
          </w:tcPr>
          <w:p>
            <w:pPr>
              <w:pStyle w:val="Normal"/>
              <w:spacing w:before="0" w:after="0"/>
              <w:jc w:val="center"/>
              <w:rPr/>
            </w:pPr>
            <w:r>
              <w:rPr>
                <w:rFonts w:eastAsia="Times New Roman" w:cs="Times New Roman"/>
                <w:b/>
                <w:bCs/>
                <w:sz w:val="24"/>
                <w:szCs w:val="24"/>
              </w:rPr>
              <w:t>0.9938*</w:t>
            </w:r>
          </w:p>
        </w:tc>
        <w:tc>
          <w:tcPr>
            <w:tcW w:w="1949" w:type="dxa"/>
            <w:tcBorders/>
            <w:shd w:fill="auto" w:val="clear"/>
          </w:tcPr>
          <w:p>
            <w:pPr>
              <w:pStyle w:val="Normal"/>
              <w:spacing w:before="0" w:after="0"/>
              <w:jc w:val="center"/>
              <w:rPr/>
            </w:pPr>
            <w:r>
              <w:rPr>
                <w:rFonts w:eastAsia="Times New Roman" w:cs="Times New Roman"/>
                <w:b w:val="false"/>
                <w:bCs w:val="false"/>
                <w:sz w:val="24"/>
                <w:szCs w:val="24"/>
              </w:rPr>
              <w:t>2.5</w:t>
            </w:r>
          </w:p>
        </w:tc>
      </w:tr>
      <w:tr>
        <w:trPr/>
        <w:tc>
          <w:tcPr>
            <w:tcW w:w="1200" w:type="dxa"/>
            <w:vMerge w:val="continue"/>
            <w:tcBorders/>
            <w:shd w:fill="auto" w:val="clear"/>
            <w:tcMar>
              <w:top w:w="0" w:type="dxa"/>
              <w:left w:w="113" w:type="dxa"/>
              <w:bottom w:w="0" w:type="dxa"/>
              <w:right w:w="108" w:type="dxa"/>
            </w:tcMar>
          </w:tcPr>
          <w:p>
            <w:pPr>
              <w:pStyle w:val="Normal"/>
              <w:rPr/>
            </w:pPr>
            <w:r>
              <w:rPr/>
            </w:r>
          </w:p>
        </w:tc>
        <w:tc>
          <w:tcPr>
            <w:tcW w:w="1399" w:type="dxa"/>
            <w:tcBorders/>
            <w:shd w:fill="auto" w:val="clear"/>
          </w:tcPr>
          <w:p>
            <w:pPr>
              <w:pStyle w:val="Normal"/>
              <w:spacing w:before="0" w:after="0"/>
              <w:jc w:val="center"/>
              <w:rPr/>
            </w:pPr>
            <w:r>
              <w:rPr>
                <w:rFonts w:eastAsia="Times New Roman" w:cs="Times New Roman"/>
                <w:b w:val="false"/>
                <w:bCs w:val="false"/>
                <w:sz w:val="24"/>
                <w:szCs w:val="24"/>
              </w:rPr>
              <w:t>MLR-bagging</w:t>
            </w:r>
          </w:p>
        </w:tc>
        <w:tc>
          <w:tcPr>
            <w:tcW w:w="1551" w:type="dxa"/>
            <w:tcBorders/>
            <w:shd w:fill="auto" w:val="clear"/>
          </w:tcPr>
          <w:p>
            <w:pPr>
              <w:pStyle w:val="Normal"/>
              <w:spacing w:before="0" w:after="0"/>
              <w:jc w:val="center"/>
              <w:rPr/>
            </w:pPr>
            <w:r>
              <w:rPr>
                <w:rFonts w:eastAsia="Times New Roman" w:cs="Times New Roman"/>
                <w:b w:val="false"/>
                <w:bCs w:val="false"/>
                <w:sz w:val="24"/>
                <w:szCs w:val="24"/>
              </w:rPr>
              <w:t>1.2089</w:t>
            </w:r>
          </w:p>
        </w:tc>
        <w:tc>
          <w:tcPr>
            <w:tcW w:w="1550" w:type="dxa"/>
            <w:tcBorders/>
            <w:shd w:fill="auto" w:val="clear"/>
          </w:tcPr>
          <w:p>
            <w:pPr>
              <w:pStyle w:val="Normal"/>
              <w:spacing w:before="0" w:after="0"/>
              <w:jc w:val="center"/>
              <w:rPr/>
            </w:pPr>
            <w:r>
              <w:rPr>
                <w:rFonts w:eastAsia="Times New Roman" w:cs="Times New Roman"/>
                <w:b w:val="false"/>
                <w:bCs w:val="false"/>
                <w:sz w:val="24"/>
                <w:szCs w:val="24"/>
              </w:rPr>
              <w:t>0.9830</w:t>
            </w:r>
          </w:p>
        </w:tc>
        <w:tc>
          <w:tcPr>
            <w:tcW w:w="1550" w:type="dxa"/>
            <w:tcBorders/>
            <w:shd w:fill="auto" w:val="clear"/>
          </w:tcPr>
          <w:p>
            <w:pPr>
              <w:pStyle w:val="Normal"/>
              <w:spacing w:before="0" w:after="0"/>
              <w:jc w:val="center"/>
              <w:rPr/>
            </w:pPr>
            <w:r>
              <w:rPr>
                <w:rFonts w:eastAsia="Times New Roman" w:cs="Times New Roman"/>
                <w:b w:val="false"/>
                <w:bCs w:val="false"/>
                <w:sz w:val="24"/>
                <w:szCs w:val="24"/>
              </w:rPr>
              <w:t>0.9922</w:t>
            </w:r>
          </w:p>
        </w:tc>
        <w:tc>
          <w:tcPr>
            <w:tcW w:w="1949" w:type="dxa"/>
            <w:tcBorders/>
            <w:shd w:fill="auto" w:val="clear"/>
          </w:tcPr>
          <w:p>
            <w:pPr>
              <w:pStyle w:val="Normal"/>
              <w:spacing w:before="0" w:after="0"/>
              <w:jc w:val="center"/>
              <w:rPr/>
            </w:pPr>
            <w:r>
              <w:rPr>
                <w:rFonts w:eastAsia="Times New Roman" w:cs="Times New Roman"/>
                <w:b w:val="false"/>
                <w:bCs w:val="false"/>
                <w:sz w:val="24"/>
                <w:szCs w:val="24"/>
              </w:rPr>
              <w:t>44.5</w:t>
            </w:r>
          </w:p>
        </w:tc>
      </w:tr>
      <w:tr>
        <w:trPr/>
        <w:tc>
          <w:tcPr>
            <w:tcW w:w="1200" w:type="dxa"/>
            <w:vMerge w:val="continue"/>
            <w:tcBorders/>
            <w:shd w:fill="auto" w:val="clear"/>
            <w:tcMar>
              <w:top w:w="0" w:type="dxa"/>
              <w:left w:w="113" w:type="dxa"/>
              <w:bottom w:w="0" w:type="dxa"/>
              <w:right w:w="108" w:type="dxa"/>
            </w:tcMar>
          </w:tcPr>
          <w:p>
            <w:pPr>
              <w:pStyle w:val="Normal"/>
              <w:rPr/>
            </w:pPr>
            <w:r>
              <w:rPr/>
            </w:r>
          </w:p>
        </w:tc>
        <w:tc>
          <w:tcPr>
            <w:tcW w:w="1399" w:type="dxa"/>
            <w:tcBorders/>
            <w:shd w:fill="auto" w:val="clear"/>
          </w:tcPr>
          <w:p>
            <w:pPr>
              <w:pStyle w:val="Normal"/>
              <w:spacing w:before="0" w:after="0"/>
              <w:jc w:val="center"/>
              <w:rPr/>
            </w:pPr>
            <w:r>
              <w:rPr>
                <w:rFonts w:eastAsia="Times New Roman" w:cs="Times New Roman"/>
                <w:b w:val="false"/>
                <w:bCs w:val="false"/>
                <w:sz w:val="24"/>
                <w:szCs w:val="24"/>
              </w:rPr>
              <w:t>MLR-subagging</w:t>
            </w:r>
          </w:p>
        </w:tc>
        <w:tc>
          <w:tcPr>
            <w:tcW w:w="1551" w:type="dxa"/>
            <w:tcBorders/>
            <w:shd w:fill="auto" w:val="clear"/>
          </w:tcPr>
          <w:p>
            <w:pPr>
              <w:pStyle w:val="Normal"/>
              <w:spacing w:before="0" w:after="0"/>
              <w:jc w:val="center"/>
              <w:rPr/>
            </w:pPr>
            <w:r>
              <w:rPr>
                <w:rFonts w:eastAsia="Times New Roman" w:cs="Times New Roman"/>
                <w:b w:val="false"/>
                <w:bCs w:val="false"/>
                <w:sz w:val="24"/>
                <w:szCs w:val="24"/>
              </w:rPr>
              <w:t>1.1294</w:t>
            </w:r>
          </w:p>
        </w:tc>
        <w:tc>
          <w:tcPr>
            <w:tcW w:w="1550" w:type="dxa"/>
            <w:tcBorders/>
            <w:shd w:fill="auto" w:val="clear"/>
          </w:tcPr>
          <w:p>
            <w:pPr>
              <w:pStyle w:val="Normal"/>
              <w:spacing w:before="0" w:after="0"/>
              <w:jc w:val="center"/>
              <w:rPr/>
            </w:pPr>
            <w:r>
              <w:rPr>
                <w:rFonts w:eastAsia="Times New Roman" w:cs="Times New Roman"/>
                <w:b w:val="false"/>
                <w:bCs w:val="false"/>
                <w:sz w:val="24"/>
                <w:szCs w:val="24"/>
              </w:rPr>
              <w:t>0.9010</w:t>
            </w:r>
          </w:p>
        </w:tc>
        <w:tc>
          <w:tcPr>
            <w:tcW w:w="1550" w:type="dxa"/>
            <w:tcBorders/>
            <w:shd w:fill="auto" w:val="clear"/>
          </w:tcPr>
          <w:p>
            <w:pPr>
              <w:pStyle w:val="Normal"/>
              <w:spacing w:before="0" w:after="0"/>
              <w:jc w:val="center"/>
              <w:rPr/>
            </w:pPr>
            <w:r>
              <w:rPr>
                <w:rFonts w:eastAsia="Times New Roman" w:cs="Times New Roman"/>
                <w:b w:val="false"/>
                <w:bCs w:val="false"/>
                <w:sz w:val="24"/>
                <w:szCs w:val="24"/>
              </w:rPr>
              <w:t>0.9932</w:t>
            </w:r>
          </w:p>
        </w:tc>
        <w:tc>
          <w:tcPr>
            <w:tcW w:w="1949" w:type="dxa"/>
            <w:tcBorders/>
            <w:shd w:fill="auto" w:val="clear"/>
          </w:tcPr>
          <w:p>
            <w:pPr>
              <w:pStyle w:val="Normal"/>
              <w:spacing w:before="0" w:after="0"/>
              <w:jc w:val="center"/>
              <w:rPr/>
            </w:pPr>
            <w:r>
              <w:rPr>
                <w:rFonts w:eastAsia="Times New Roman" w:cs="Times New Roman"/>
                <w:b w:val="false"/>
                <w:bCs w:val="false"/>
                <w:sz w:val="24"/>
                <w:szCs w:val="24"/>
              </w:rPr>
              <w:t>46.8</w:t>
            </w:r>
          </w:p>
        </w:tc>
      </w:tr>
      <w:tr>
        <w:trPr/>
        <w:tc>
          <w:tcPr>
            <w:tcW w:w="1200" w:type="dxa"/>
            <w:vMerge w:val="restart"/>
            <w:tcBorders/>
            <w:shd w:fill="auto" w:val="clear"/>
            <w:vAlign w:val="center"/>
          </w:tcPr>
          <w:p>
            <w:pPr>
              <w:pStyle w:val="Normal"/>
              <w:spacing w:before="0" w:after="0"/>
              <w:jc w:val="center"/>
              <w:rPr/>
            </w:pPr>
            <w:r>
              <w:rPr>
                <w:rFonts w:eastAsia="Times New Roman" w:cs="Times New Roman"/>
                <w:sz w:val="24"/>
                <w:szCs w:val="24"/>
              </w:rPr>
              <w:t>Ni</w:t>
            </w:r>
          </w:p>
        </w:tc>
        <w:tc>
          <w:tcPr>
            <w:tcW w:w="1399" w:type="dxa"/>
            <w:tcBorders/>
            <w:shd w:fill="auto" w:val="clear"/>
          </w:tcPr>
          <w:p>
            <w:pPr>
              <w:pStyle w:val="Normal"/>
              <w:spacing w:before="0" w:after="0"/>
              <w:jc w:val="center"/>
              <w:rPr/>
            </w:pPr>
            <w:r>
              <w:rPr>
                <w:rFonts w:eastAsia="Times New Roman" w:cs="Times New Roman"/>
                <w:b w:val="false"/>
                <w:bCs w:val="false"/>
                <w:sz w:val="24"/>
                <w:szCs w:val="24"/>
              </w:rPr>
              <w:t>MLR</w:t>
            </w:r>
          </w:p>
        </w:tc>
        <w:tc>
          <w:tcPr>
            <w:tcW w:w="1551" w:type="dxa"/>
            <w:tcBorders/>
            <w:shd w:fill="auto" w:val="clear"/>
          </w:tcPr>
          <w:p>
            <w:pPr>
              <w:pStyle w:val="Normal"/>
              <w:spacing w:before="0" w:after="0"/>
              <w:jc w:val="center"/>
              <w:rPr/>
            </w:pPr>
            <w:r>
              <w:rPr>
                <w:rFonts w:eastAsia="Times New Roman" w:cs="Times New Roman"/>
                <w:b w:val="false"/>
                <w:bCs w:val="false"/>
                <w:sz w:val="24"/>
                <w:szCs w:val="24"/>
              </w:rPr>
              <w:t>1.6043</w:t>
            </w:r>
          </w:p>
        </w:tc>
        <w:tc>
          <w:tcPr>
            <w:tcW w:w="1550" w:type="dxa"/>
            <w:tcBorders/>
            <w:shd w:fill="auto" w:val="clear"/>
          </w:tcPr>
          <w:p>
            <w:pPr>
              <w:pStyle w:val="Normal"/>
              <w:spacing w:before="0" w:after="0"/>
              <w:jc w:val="center"/>
              <w:rPr/>
            </w:pPr>
            <w:r>
              <w:rPr>
                <w:rFonts w:eastAsia="Times New Roman" w:cs="Times New Roman"/>
                <w:b w:val="false"/>
                <w:bCs w:val="false"/>
                <w:sz w:val="24"/>
                <w:szCs w:val="24"/>
              </w:rPr>
              <w:t>1.3256</w:t>
            </w:r>
          </w:p>
        </w:tc>
        <w:tc>
          <w:tcPr>
            <w:tcW w:w="1550" w:type="dxa"/>
            <w:tcBorders/>
            <w:shd w:fill="auto" w:val="clear"/>
          </w:tcPr>
          <w:p>
            <w:pPr>
              <w:pStyle w:val="Normal"/>
              <w:spacing w:before="0" w:after="0"/>
              <w:jc w:val="center"/>
              <w:rPr/>
            </w:pPr>
            <w:r>
              <w:rPr>
                <w:rFonts w:eastAsia="Times New Roman" w:cs="Times New Roman"/>
                <w:b w:val="false"/>
                <w:bCs w:val="false"/>
                <w:sz w:val="24"/>
                <w:szCs w:val="24"/>
              </w:rPr>
              <w:t>0.9837</w:t>
            </w:r>
          </w:p>
        </w:tc>
        <w:tc>
          <w:tcPr>
            <w:tcW w:w="1949" w:type="dxa"/>
            <w:tcBorders/>
            <w:shd w:fill="auto" w:val="clear"/>
          </w:tcPr>
          <w:p>
            <w:pPr>
              <w:pStyle w:val="Normal"/>
              <w:spacing w:before="0" w:after="0"/>
              <w:jc w:val="center"/>
              <w:rPr/>
            </w:pPr>
            <w:r>
              <w:rPr>
                <w:rFonts w:eastAsia="Times New Roman" w:cs="Times New Roman"/>
                <w:b w:val="false"/>
                <w:bCs w:val="false"/>
                <w:sz w:val="24"/>
                <w:szCs w:val="24"/>
              </w:rPr>
              <w:t>2.3</w:t>
            </w:r>
          </w:p>
        </w:tc>
      </w:tr>
      <w:tr>
        <w:trPr/>
        <w:tc>
          <w:tcPr>
            <w:tcW w:w="1200" w:type="dxa"/>
            <w:vMerge w:val="continue"/>
            <w:tcBorders/>
            <w:shd w:fill="auto" w:val="clear"/>
            <w:tcMar>
              <w:top w:w="0" w:type="dxa"/>
              <w:left w:w="113" w:type="dxa"/>
              <w:bottom w:w="0" w:type="dxa"/>
              <w:right w:w="108" w:type="dxa"/>
            </w:tcMar>
          </w:tcPr>
          <w:p>
            <w:pPr>
              <w:pStyle w:val="Normal"/>
              <w:rPr/>
            </w:pPr>
            <w:r>
              <w:rPr/>
            </w:r>
          </w:p>
        </w:tc>
        <w:tc>
          <w:tcPr>
            <w:tcW w:w="1399" w:type="dxa"/>
            <w:tcBorders/>
            <w:shd w:fill="auto" w:val="clear"/>
          </w:tcPr>
          <w:p>
            <w:pPr>
              <w:pStyle w:val="Normal"/>
              <w:spacing w:before="0" w:after="0"/>
              <w:jc w:val="center"/>
              <w:rPr/>
            </w:pPr>
            <w:r>
              <w:rPr>
                <w:rFonts w:eastAsia="Times New Roman" w:cs="Times New Roman"/>
                <w:b/>
                <w:bCs/>
                <w:sz w:val="24"/>
                <w:szCs w:val="24"/>
              </w:rPr>
              <w:t>MLR-subagging*</w:t>
            </w:r>
          </w:p>
        </w:tc>
        <w:tc>
          <w:tcPr>
            <w:tcW w:w="1551" w:type="dxa"/>
            <w:tcBorders/>
            <w:shd w:fill="auto" w:val="clear"/>
          </w:tcPr>
          <w:p>
            <w:pPr>
              <w:pStyle w:val="Normal"/>
              <w:spacing w:before="0" w:after="0"/>
              <w:jc w:val="center"/>
              <w:rPr/>
            </w:pPr>
            <w:r>
              <w:rPr>
                <w:rFonts w:eastAsia="Times New Roman" w:cs="Times New Roman"/>
                <w:b/>
                <w:bCs/>
                <w:sz w:val="24"/>
                <w:szCs w:val="24"/>
              </w:rPr>
              <w:t>1.6003*</w:t>
            </w:r>
          </w:p>
        </w:tc>
        <w:tc>
          <w:tcPr>
            <w:tcW w:w="1550" w:type="dxa"/>
            <w:tcBorders/>
            <w:shd w:fill="auto" w:val="clear"/>
          </w:tcPr>
          <w:p>
            <w:pPr>
              <w:pStyle w:val="Normal"/>
              <w:spacing w:before="0" w:after="0"/>
              <w:jc w:val="center"/>
              <w:rPr/>
            </w:pPr>
            <w:r>
              <w:rPr>
                <w:rFonts w:eastAsia="Times New Roman" w:cs="Times New Roman"/>
                <w:b/>
                <w:bCs/>
                <w:sz w:val="24"/>
                <w:szCs w:val="24"/>
              </w:rPr>
              <w:t>1.2409*</w:t>
            </w:r>
          </w:p>
        </w:tc>
        <w:tc>
          <w:tcPr>
            <w:tcW w:w="1550" w:type="dxa"/>
            <w:tcBorders/>
            <w:shd w:fill="auto" w:val="clear"/>
          </w:tcPr>
          <w:p>
            <w:pPr>
              <w:pStyle w:val="Normal"/>
              <w:spacing w:before="0" w:after="0"/>
              <w:jc w:val="center"/>
              <w:rPr/>
            </w:pPr>
            <w:r>
              <w:rPr>
                <w:rFonts w:eastAsia="Times New Roman" w:cs="Times New Roman"/>
                <w:b/>
                <w:bCs/>
                <w:sz w:val="24"/>
                <w:szCs w:val="24"/>
              </w:rPr>
              <w:t>0.9838*</w:t>
            </w:r>
          </w:p>
        </w:tc>
        <w:tc>
          <w:tcPr>
            <w:tcW w:w="1949" w:type="dxa"/>
            <w:tcBorders/>
            <w:shd w:fill="auto" w:val="clear"/>
          </w:tcPr>
          <w:p>
            <w:pPr>
              <w:pStyle w:val="Normal"/>
              <w:spacing w:before="0" w:after="0"/>
              <w:jc w:val="center"/>
              <w:rPr/>
            </w:pPr>
            <w:r>
              <w:rPr>
                <w:rFonts w:eastAsia="Times New Roman" w:cs="Times New Roman"/>
                <w:b w:val="false"/>
                <w:bCs w:val="false"/>
                <w:sz w:val="24"/>
                <w:szCs w:val="24"/>
              </w:rPr>
              <w:t>10.6</w:t>
            </w:r>
          </w:p>
        </w:tc>
      </w:tr>
      <w:tr>
        <w:trPr/>
        <w:tc>
          <w:tcPr>
            <w:tcW w:w="1200" w:type="dxa"/>
            <w:vMerge w:val="continue"/>
            <w:tcBorders/>
            <w:shd w:fill="auto" w:val="clear"/>
            <w:tcMar>
              <w:top w:w="0" w:type="dxa"/>
              <w:left w:w="113" w:type="dxa"/>
              <w:bottom w:w="0" w:type="dxa"/>
              <w:right w:w="108" w:type="dxa"/>
            </w:tcMar>
          </w:tcPr>
          <w:p>
            <w:pPr>
              <w:pStyle w:val="Normal"/>
              <w:rPr/>
            </w:pPr>
            <w:r>
              <w:rPr/>
            </w:r>
          </w:p>
        </w:tc>
        <w:tc>
          <w:tcPr>
            <w:tcW w:w="1399" w:type="dxa"/>
            <w:tcBorders/>
            <w:shd w:fill="auto" w:val="clear"/>
          </w:tcPr>
          <w:p>
            <w:pPr>
              <w:pStyle w:val="Normal"/>
              <w:spacing w:before="0" w:after="0"/>
              <w:jc w:val="center"/>
              <w:rPr/>
            </w:pPr>
            <w:r>
              <w:rPr>
                <w:rFonts w:eastAsia="Times New Roman" w:cs="Times New Roman"/>
                <w:b w:val="false"/>
                <w:bCs w:val="false"/>
                <w:sz w:val="24"/>
                <w:szCs w:val="24"/>
              </w:rPr>
              <w:t>MLR-bagging</w:t>
            </w:r>
          </w:p>
        </w:tc>
        <w:tc>
          <w:tcPr>
            <w:tcW w:w="1551" w:type="dxa"/>
            <w:tcBorders/>
            <w:shd w:fill="auto" w:val="clear"/>
          </w:tcPr>
          <w:p>
            <w:pPr>
              <w:pStyle w:val="Normal"/>
              <w:spacing w:before="0" w:after="0"/>
              <w:jc w:val="center"/>
              <w:rPr/>
            </w:pPr>
            <w:r>
              <w:rPr>
                <w:rFonts w:eastAsia="Times New Roman" w:cs="Times New Roman"/>
                <w:b w:val="false"/>
                <w:bCs w:val="false"/>
                <w:sz w:val="24"/>
                <w:szCs w:val="24"/>
              </w:rPr>
              <w:t>1.7085</w:t>
            </w:r>
          </w:p>
        </w:tc>
        <w:tc>
          <w:tcPr>
            <w:tcW w:w="1550" w:type="dxa"/>
            <w:tcBorders/>
            <w:shd w:fill="auto" w:val="clear"/>
          </w:tcPr>
          <w:p>
            <w:pPr>
              <w:pStyle w:val="Normal"/>
              <w:spacing w:before="0" w:after="0"/>
              <w:jc w:val="center"/>
              <w:rPr/>
            </w:pPr>
            <w:r>
              <w:rPr>
                <w:rFonts w:eastAsia="Times New Roman" w:cs="Times New Roman"/>
                <w:b w:val="false"/>
                <w:bCs w:val="false"/>
                <w:sz w:val="24"/>
                <w:szCs w:val="24"/>
              </w:rPr>
              <w:t>1.4122</w:t>
            </w:r>
          </w:p>
        </w:tc>
        <w:tc>
          <w:tcPr>
            <w:tcW w:w="1550" w:type="dxa"/>
            <w:tcBorders/>
            <w:shd w:fill="auto" w:val="clear"/>
          </w:tcPr>
          <w:p>
            <w:pPr>
              <w:pStyle w:val="Normal"/>
              <w:spacing w:before="0" w:after="0"/>
              <w:jc w:val="center"/>
              <w:rPr/>
            </w:pPr>
            <w:r>
              <w:rPr>
                <w:rFonts w:eastAsia="Times New Roman" w:cs="Times New Roman"/>
                <w:b w:val="false"/>
                <w:bCs w:val="false"/>
                <w:sz w:val="24"/>
                <w:szCs w:val="24"/>
              </w:rPr>
              <w:t>0.9815</w:t>
            </w:r>
          </w:p>
        </w:tc>
        <w:tc>
          <w:tcPr>
            <w:tcW w:w="1949" w:type="dxa"/>
            <w:tcBorders/>
            <w:shd w:fill="auto" w:val="clear"/>
          </w:tcPr>
          <w:p>
            <w:pPr>
              <w:pStyle w:val="Normal"/>
              <w:spacing w:before="0" w:after="0"/>
              <w:jc w:val="center"/>
              <w:rPr/>
            </w:pPr>
            <w:r>
              <w:rPr>
                <w:rFonts w:eastAsia="Times New Roman" w:cs="Times New Roman"/>
                <w:b w:val="false"/>
                <w:bCs w:val="false"/>
                <w:sz w:val="24"/>
                <w:szCs w:val="24"/>
              </w:rPr>
              <w:t>66.6</w:t>
            </w:r>
          </w:p>
        </w:tc>
      </w:tr>
      <w:tr>
        <w:trPr/>
        <w:tc>
          <w:tcPr>
            <w:tcW w:w="1200" w:type="dxa"/>
            <w:vMerge w:val="restart"/>
            <w:tcBorders>
              <w:top w:val="single" w:sz="8" w:space="0" w:color="000001"/>
              <w:bottom w:val="single" w:sz="8" w:space="0" w:color="000001"/>
              <w:insideH w:val="single" w:sz="8" w:space="0" w:color="000001"/>
            </w:tcBorders>
            <w:shd w:fill="auto" w:val="clear"/>
            <w:vAlign w:val="center"/>
          </w:tcPr>
          <w:p>
            <w:pPr>
              <w:pStyle w:val="Normal"/>
              <w:spacing w:before="0" w:after="0"/>
              <w:jc w:val="center"/>
              <w:rPr/>
            </w:pPr>
            <w:r>
              <w:rPr>
                <w:rFonts w:eastAsia="Times New Roman" w:cs="Times New Roman"/>
                <w:sz w:val="24"/>
                <w:szCs w:val="24"/>
              </w:rPr>
              <w:t>Fe</w:t>
            </w:r>
          </w:p>
        </w:tc>
        <w:tc>
          <w:tcPr>
            <w:tcW w:w="1399" w:type="dxa"/>
            <w:tcBorders/>
            <w:shd w:fill="auto" w:val="clear"/>
          </w:tcPr>
          <w:p>
            <w:pPr>
              <w:pStyle w:val="Normal"/>
              <w:spacing w:before="0" w:after="0"/>
              <w:jc w:val="center"/>
              <w:rPr/>
            </w:pPr>
            <w:r>
              <w:rPr>
                <w:rFonts w:eastAsia="Times New Roman" w:cs="Times New Roman"/>
                <w:sz w:val="24"/>
                <w:szCs w:val="24"/>
              </w:rPr>
              <w:t>MLR</w:t>
            </w:r>
          </w:p>
        </w:tc>
        <w:tc>
          <w:tcPr>
            <w:tcW w:w="1551" w:type="dxa"/>
            <w:tcBorders/>
            <w:shd w:fill="auto" w:val="clear"/>
          </w:tcPr>
          <w:p>
            <w:pPr>
              <w:pStyle w:val="Normal"/>
              <w:spacing w:before="0" w:after="0"/>
              <w:jc w:val="center"/>
              <w:rPr/>
            </w:pPr>
            <w:r>
              <w:rPr>
                <w:rFonts w:eastAsia="Times New Roman" w:cs="Times New Roman"/>
                <w:sz w:val="24"/>
                <w:szCs w:val="24"/>
              </w:rPr>
              <w:t>2.7513</w:t>
            </w:r>
          </w:p>
        </w:tc>
        <w:tc>
          <w:tcPr>
            <w:tcW w:w="1550" w:type="dxa"/>
            <w:tcBorders/>
            <w:shd w:fill="auto" w:val="clear"/>
          </w:tcPr>
          <w:p>
            <w:pPr>
              <w:pStyle w:val="Normal"/>
              <w:spacing w:before="0" w:after="0"/>
              <w:jc w:val="center"/>
              <w:rPr/>
            </w:pPr>
            <w:r>
              <w:rPr>
                <w:rFonts w:eastAsia="Times New Roman" w:cs="Times New Roman"/>
                <w:sz w:val="24"/>
                <w:szCs w:val="24"/>
              </w:rPr>
              <w:t>2.1865</w:t>
            </w:r>
          </w:p>
        </w:tc>
        <w:tc>
          <w:tcPr>
            <w:tcW w:w="1550" w:type="dxa"/>
            <w:tcBorders/>
            <w:shd w:fill="auto" w:val="clear"/>
          </w:tcPr>
          <w:p>
            <w:pPr>
              <w:pStyle w:val="Normal"/>
              <w:spacing w:before="0" w:after="0"/>
              <w:jc w:val="center"/>
              <w:rPr/>
            </w:pPr>
            <w:r>
              <w:rPr>
                <w:rFonts w:eastAsia="Times New Roman" w:cs="Times New Roman"/>
                <w:sz w:val="24"/>
                <w:szCs w:val="24"/>
              </w:rPr>
              <w:t>0.9892</w:t>
            </w:r>
          </w:p>
        </w:tc>
        <w:tc>
          <w:tcPr>
            <w:tcW w:w="1949" w:type="dxa"/>
            <w:tcBorders/>
            <w:shd w:fill="auto" w:val="clear"/>
          </w:tcPr>
          <w:p>
            <w:pPr>
              <w:pStyle w:val="Normal"/>
              <w:spacing w:before="0" w:after="0"/>
              <w:jc w:val="center"/>
              <w:rPr/>
            </w:pPr>
            <w:r>
              <w:rPr>
                <w:rFonts w:eastAsia="Times New Roman" w:cs="Times New Roman"/>
                <w:sz w:val="24"/>
                <w:szCs w:val="24"/>
              </w:rPr>
              <w:t>13.5</w:t>
            </w:r>
          </w:p>
        </w:tc>
      </w:tr>
      <w:tr>
        <w:trPr/>
        <w:tc>
          <w:tcPr>
            <w:tcW w:w="1200" w:type="dxa"/>
            <w:vMerge w:val="continue"/>
            <w:tcBorders>
              <w:top w:val="single" w:sz="8" w:space="0" w:color="000001"/>
              <w:bottom w:val="single" w:sz="8" w:space="0" w:color="000001"/>
              <w:insideH w:val="single" w:sz="8" w:space="0" w:color="000001"/>
            </w:tcBorders>
            <w:shd w:fill="auto" w:val="clear"/>
            <w:tcMar>
              <w:top w:w="0" w:type="dxa"/>
              <w:left w:w="113" w:type="dxa"/>
              <w:bottom w:w="0" w:type="dxa"/>
              <w:right w:w="108" w:type="dxa"/>
            </w:tcMar>
          </w:tcPr>
          <w:p>
            <w:pPr>
              <w:pStyle w:val="Normal"/>
              <w:rPr/>
            </w:pPr>
            <w:r>
              <w:rPr/>
            </w:r>
          </w:p>
        </w:tc>
        <w:tc>
          <w:tcPr>
            <w:tcW w:w="1399" w:type="dxa"/>
            <w:tcBorders/>
            <w:shd w:fill="auto" w:val="clear"/>
          </w:tcPr>
          <w:p>
            <w:pPr>
              <w:pStyle w:val="Normal"/>
              <w:spacing w:before="0" w:after="0"/>
              <w:jc w:val="center"/>
              <w:rPr/>
            </w:pPr>
            <w:r>
              <w:rPr>
                <w:rFonts w:eastAsia="Times New Roman" w:cs="Times New Roman"/>
                <w:b/>
                <w:bCs/>
                <w:sz w:val="24"/>
                <w:szCs w:val="24"/>
              </w:rPr>
              <w:t>MLR-bagging*</w:t>
            </w:r>
          </w:p>
        </w:tc>
        <w:tc>
          <w:tcPr>
            <w:tcW w:w="1551" w:type="dxa"/>
            <w:tcBorders/>
            <w:shd w:fill="auto" w:val="clear"/>
          </w:tcPr>
          <w:p>
            <w:pPr>
              <w:pStyle w:val="Normal"/>
              <w:spacing w:before="0" w:after="0"/>
              <w:jc w:val="center"/>
              <w:rPr/>
            </w:pPr>
            <w:r>
              <w:rPr>
                <w:rFonts w:eastAsia="Times New Roman" w:cs="Times New Roman"/>
                <w:b/>
                <w:bCs/>
                <w:sz w:val="24"/>
                <w:szCs w:val="24"/>
              </w:rPr>
              <w:t>2.6406*</w:t>
            </w:r>
          </w:p>
        </w:tc>
        <w:tc>
          <w:tcPr>
            <w:tcW w:w="1550" w:type="dxa"/>
            <w:tcBorders/>
            <w:shd w:fill="auto" w:val="clear"/>
          </w:tcPr>
          <w:p>
            <w:pPr>
              <w:pStyle w:val="Normal"/>
              <w:spacing w:before="0" w:after="0"/>
              <w:jc w:val="center"/>
              <w:rPr/>
            </w:pPr>
            <w:r>
              <w:rPr>
                <w:rFonts w:eastAsia="Times New Roman" w:cs="Times New Roman"/>
                <w:b/>
                <w:bCs/>
                <w:sz w:val="24"/>
                <w:szCs w:val="24"/>
              </w:rPr>
              <w:t>2.0246*</w:t>
            </w:r>
          </w:p>
        </w:tc>
        <w:tc>
          <w:tcPr>
            <w:tcW w:w="1550" w:type="dxa"/>
            <w:tcBorders/>
            <w:shd w:fill="auto" w:val="clear"/>
          </w:tcPr>
          <w:p>
            <w:pPr>
              <w:pStyle w:val="Normal"/>
              <w:spacing w:before="0" w:after="0"/>
              <w:jc w:val="center"/>
              <w:rPr/>
            </w:pPr>
            <w:r>
              <w:rPr>
                <w:rFonts w:eastAsia="Times New Roman" w:cs="Times New Roman"/>
                <w:b/>
                <w:bCs/>
                <w:sz w:val="24"/>
                <w:szCs w:val="24"/>
              </w:rPr>
              <w:t>0.9900*</w:t>
            </w:r>
          </w:p>
        </w:tc>
        <w:tc>
          <w:tcPr>
            <w:tcW w:w="1949" w:type="dxa"/>
            <w:tcBorders/>
            <w:shd w:fill="auto" w:val="clear"/>
          </w:tcPr>
          <w:p>
            <w:pPr>
              <w:pStyle w:val="Normal"/>
              <w:spacing w:before="0" w:after="0"/>
              <w:jc w:val="center"/>
              <w:rPr/>
            </w:pPr>
            <w:r>
              <w:rPr>
                <w:rFonts w:eastAsia="Times New Roman" w:cs="Times New Roman"/>
                <w:b w:val="false"/>
                <w:bCs w:val="false"/>
                <w:sz w:val="24"/>
                <w:szCs w:val="24"/>
              </w:rPr>
              <w:t>97.2</w:t>
            </w:r>
          </w:p>
        </w:tc>
      </w:tr>
      <w:tr>
        <w:trPr/>
        <w:tc>
          <w:tcPr>
            <w:tcW w:w="1200" w:type="dxa"/>
            <w:vMerge w:val="continue"/>
            <w:tcBorders>
              <w:top w:val="single" w:sz="8" w:space="0" w:color="000001"/>
              <w:bottom w:val="single" w:sz="8" w:space="0" w:color="000001"/>
              <w:insideH w:val="single" w:sz="8" w:space="0" w:color="000001"/>
            </w:tcBorders>
            <w:shd w:fill="auto" w:val="clear"/>
            <w:tcMar>
              <w:top w:w="0" w:type="dxa"/>
              <w:left w:w="113" w:type="dxa"/>
              <w:bottom w:w="0" w:type="dxa"/>
              <w:right w:w="108" w:type="dxa"/>
            </w:tcMar>
          </w:tcPr>
          <w:p>
            <w:pPr>
              <w:pStyle w:val="Normal"/>
              <w:rPr/>
            </w:pPr>
            <w:r>
              <w:rPr/>
            </w:r>
          </w:p>
        </w:tc>
        <w:tc>
          <w:tcPr>
            <w:tcW w:w="1399" w:type="dxa"/>
            <w:tcBorders>
              <w:top w:val="single" w:sz="8" w:space="0" w:color="000001"/>
              <w:bottom w:val="single" w:sz="8" w:space="0" w:color="000001"/>
              <w:insideH w:val="single" w:sz="8" w:space="0" w:color="000001"/>
            </w:tcBorders>
            <w:shd w:fill="auto" w:val="clear"/>
          </w:tcPr>
          <w:p>
            <w:pPr>
              <w:pStyle w:val="Normal"/>
              <w:spacing w:before="0" w:after="0"/>
              <w:jc w:val="center"/>
              <w:rPr/>
            </w:pPr>
            <w:r>
              <w:rPr>
                <w:rFonts w:eastAsia="Times New Roman" w:cs="Times New Roman"/>
                <w:b w:val="false"/>
                <w:bCs w:val="false"/>
                <w:sz w:val="24"/>
                <w:szCs w:val="24"/>
              </w:rPr>
              <w:t>MLR-subagging</w:t>
            </w:r>
          </w:p>
        </w:tc>
        <w:tc>
          <w:tcPr>
            <w:tcW w:w="1551" w:type="dxa"/>
            <w:tcBorders>
              <w:top w:val="single" w:sz="8" w:space="0" w:color="000001"/>
              <w:bottom w:val="single" w:sz="8" w:space="0" w:color="000001"/>
              <w:insideH w:val="single" w:sz="8" w:space="0" w:color="000001"/>
            </w:tcBorders>
            <w:shd w:fill="auto" w:val="clear"/>
          </w:tcPr>
          <w:p>
            <w:pPr>
              <w:pStyle w:val="Normal"/>
              <w:spacing w:before="0" w:after="0"/>
              <w:jc w:val="center"/>
              <w:rPr/>
            </w:pPr>
            <w:r>
              <w:rPr>
                <w:rFonts w:eastAsia="Times New Roman" w:cs="Times New Roman"/>
                <w:b w:val="false"/>
                <w:bCs w:val="false"/>
                <w:sz w:val="24"/>
                <w:szCs w:val="24"/>
              </w:rPr>
              <w:t>2.6509</w:t>
            </w:r>
          </w:p>
        </w:tc>
        <w:tc>
          <w:tcPr>
            <w:tcW w:w="1550" w:type="dxa"/>
            <w:tcBorders>
              <w:top w:val="single" w:sz="8" w:space="0" w:color="000001"/>
              <w:bottom w:val="single" w:sz="8" w:space="0" w:color="000001"/>
              <w:insideH w:val="single" w:sz="8" w:space="0" w:color="000001"/>
            </w:tcBorders>
            <w:shd w:fill="auto" w:val="clear"/>
          </w:tcPr>
          <w:p>
            <w:pPr>
              <w:pStyle w:val="Normal"/>
              <w:spacing w:before="0" w:after="0"/>
              <w:jc w:val="center"/>
              <w:rPr/>
            </w:pPr>
            <w:r>
              <w:rPr>
                <w:rFonts w:eastAsia="Times New Roman" w:cs="Times New Roman"/>
                <w:b w:val="false"/>
                <w:bCs w:val="false"/>
                <w:sz w:val="24"/>
                <w:szCs w:val="24"/>
              </w:rPr>
              <w:t>2.0578</w:t>
            </w:r>
          </w:p>
        </w:tc>
        <w:tc>
          <w:tcPr>
            <w:tcW w:w="1550" w:type="dxa"/>
            <w:tcBorders>
              <w:top w:val="single" w:sz="8" w:space="0" w:color="000001"/>
              <w:bottom w:val="single" w:sz="8" w:space="0" w:color="000001"/>
              <w:insideH w:val="single" w:sz="8" w:space="0" w:color="000001"/>
            </w:tcBorders>
            <w:shd w:fill="auto" w:val="clear"/>
          </w:tcPr>
          <w:p>
            <w:pPr>
              <w:pStyle w:val="Normal"/>
              <w:spacing w:before="0" w:after="0"/>
              <w:jc w:val="center"/>
              <w:rPr/>
            </w:pPr>
            <w:r>
              <w:rPr>
                <w:rFonts w:eastAsia="Times New Roman" w:cs="Times New Roman"/>
                <w:b w:val="false"/>
                <w:bCs w:val="false"/>
                <w:sz w:val="24"/>
                <w:szCs w:val="24"/>
              </w:rPr>
              <w:t>0.9900</w:t>
            </w:r>
          </w:p>
        </w:tc>
        <w:tc>
          <w:tcPr>
            <w:tcW w:w="1949" w:type="dxa"/>
            <w:tcBorders/>
            <w:shd w:fill="auto" w:val="clear"/>
          </w:tcPr>
          <w:p>
            <w:pPr>
              <w:pStyle w:val="Normal"/>
              <w:spacing w:before="0" w:after="0"/>
              <w:jc w:val="center"/>
              <w:rPr/>
            </w:pPr>
            <w:r>
              <w:rPr>
                <w:rFonts w:eastAsia="Times New Roman" w:cs="Times New Roman"/>
                <w:b w:val="false"/>
                <w:bCs w:val="false"/>
                <w:sz w:val="24"/>
                <w:szCs w:val="24"/>
              </w:rPr>
              <w:t>41.2</w:t>
            </w:r>
          </w:p>
        </w:tc>
      </w:tr>
    </w:tbl>
    <w:p>
      <w:pPr>
        <w:pStyle w:val="Normal"/>
        <w:spacing w:before="60" w:after="120"/>
        <w:jc w:val="center"/>
        <w:rPr/>
      </w:pPr>
      <w:r>
        <w:rPr>
          <w:rFonts w:eastAsia="Times New Roman" w:cs="Times New Roman"/>
          <w:sz w:val="20"/>
          <w:szCs w:val="20"/>
        </w:rPr>
        <w:t>MLR-subagging: k* = 80% (Mn, Mo, Cr, Fe), 60% (Ni). MLR-bagging: m* = 30 (all). MLR-subagging m*: 10 (Mn, Ni), 30 (Mo, Cr, Fe).</w:t>
      </w:r>
    </w:p>
    <w:p>
      <w:pPr>
        <w:pStyle w:val="Normal"/>
        <w:spacing w:lineRule="auto" w:line="480"/>
        <w:ind w:firstLine="720"/>
        <w:jc w:val="both"/>
        <w:rPr/>
      </w:pPr>
      <w:r>
        <w:rPr/>
      </w:r>
    </w:p>
    <w:p>
      <w:pPr>
        <w:pStyle w:val="Normal"/>
        <w:spacing w:lineRule="auto" w:line="480"/>
        <w:ind w:firstLine="720"/>
        <w:jc w:val="both"/>
        <w:rPr/>
      </w:pPr>
      <w:r>
        <w:rPr/>
      </w:r>
    </w:p>
    <w:p>
      <w:pPr>
        <w:pStyle w:val="Normal"/>
        <w:spacing w:lineRule="auto" w:line="480"/>
        <w:ind w:firstLine="720"/>
        <w:jc w:val="both"/>
        <w:rPr/>
      </w:pPr>
      <w:r>
        <w:rPr/>
      </w:r>
    </w:p>
    <w:p>
      <w:pPr>
        <w:pStyle w:val="Normal"/>
        <w:spacing w:before="120" w:after="40"/>
        <w:jc w:val="left"/>
        <w:rPr/>
      </w:pPr>
      <w:r>
        <w:rPr>
          <w:rFonts w:eastAsia="Times New Roman" w:cs="Times New Roman"/>
          <w:b/>
          <w:bCs/>
          <w:sz w:val="24"/>
          <w:szCs w:val="24"/>
        </w:rPr>
        <w:t>Sensitivity to bootstrap replications</w:t>
      </w:r>
    </w:p>
    <w:p>
      <w:pPr>
        <w:pStyle w:val="Normal"/>
        <w:spacing w:lineRule="auto" w:line="480"/>
        <w:ind w:firstLine="720"/>
        <w:jc w:val="both"/>
        <w:rPr/>
      </w:pPr>
      <w:r>
        <w:rPr>
          <w:rFonts w:eastAsia="Times New Roman" w:cs="Times New Roman"/>
          <w:sz w:val="24"/>
          <w:szCs w:val="24"/>
        </w:rPr>
        <w:t>For Mn, RMSEP stabilized after approximately 15–20 bagging replicates. For Fe, oscillations persisted even at 50 replicates, suggesting greater spectral complexity and/or sensitivity to calibration sample composition. MLR-subagging with k* = 80% proved optimal for four of five elements, indicating that larger subsamples favor model stability in this high-dimensionality, small-sample regime.</w:t>
      </w:r>
    </w:p>
    <w:p>
      <w:pPr>
        <w:pStyle w:val="Normal"/>
        <w:spacing w:before="120" w:after="40"/>
        <w:jc w:val="left"/>
        <w:rPr/>
      </w:pPr>
      <w:r>
        <w:rPr>
          <w:rFonts w:eastAsia="Times New Roman" w:cs="Times New Roman"/>
          <w:b/>
          <w:bCs/>
          <w:sz w:val="24"/>
          <w:szCs w:val="24"/>
        </w:rPr>
        <w:t>Computational efficiency</w:t>
      </w:r>
    </w:p>
    <w:p>
      <w:pPr>
        <w:pStyle w:val="Normal"/>
        <w:spacing w:lineRule="auto" w:line="480"/>
        <w:ind w:firstLine="720"/>
        <w:jc w:val="both"/>
        <w:rPr/>
      </w:pPr>
      <w:r>
        <w:rPr/>
      </w:r>
    </w:p>
    <w:p>
      <w:pPr>
        <w:pStyle w:val="Normal"/>
        <w:spacing w:before="200" w:after="60"/>
        <w:jc w:val="left"/>
        <w:rPr/>
      </w:pPr>
      <w:r>
        <w:rPr>
          <w:rFonts w:eastAsia="Times New Roman" w:cs="Times New Roman"/>
          <w:b/>
          <w:bCs/>
          <w:caps/>
          <w:sz w:val="24"/>
          <w:szCs w:val="24"/>
        </w:rPr>
        <w:t>Conclusions</w:t>
      </w:r>
    </w:p>
    <w:p>
      <w:pPr>
        <w:pStyle w:val="Normal"/>
        <w:spacing w:lineRule="auto" w:line="480"/>
        <w:ind w:firstLine="720"/>
        <w:jc w:val="both"/>
        <w:rPr/>
      </w:pPr>
      <w:r>
        <w:rPr>
          <w:rFonts w:eastAsia="Times New Roman" w:cs="Times New Roman"/>
          <w:sz w:val="24"/>
          <w:szCs w:val="24"/>
        </w:rPr>
        <w:t>This study demonstrates that no single resampling technique universally outperforms the others across all steel alloy analytes. MLR-subagging is recommended for Mn and Ni, offering improved accuracy and computational efficiency relative to MLR-bagging. MLR-bagging is preferred for Fe, where spectral complexity makes multi-model aggregation advantageous. For Mo and Cr, classical MLR remains the most appropriate choice due to its simplicity and low computational cost.</w:t>
      </w:r>
    </w:p>
    <w:p>
      <w:pPr>
        <w:pStyle w:val="Normal"/>
        <w:spacing w:lineRule="auto" w:line="480"/>
        <w:ind w:firstLine="720"/>
        <w:jc w:val="both"/>
        <w:rPr/>
      </w:pPr>
      <w:r>
        <w:rPr>
          <w:rFonts w:eastAsia="Times New Roman" w:cs="Times New Roman"/>
          <w:sz w:val="24"/>
          <w:szCs w:val="24"/>
        </w:rPr>
        <w:t>MLR-subagging emerges as the most balanced alternative between predictive precision and efficiency (3.0× faster than bagging on average), constituting a viable strategy for chemometric applications subject to time constraints. Future work should extend this analysis to larger and more diverse datasets, and evaluate alternative base models (PLS, LASSO, neural networks) and advanced ensemble strategies (boosting, stacking).</w:t>
      </w:r>
    </w:p>
    <w:p>
      <w:pPr>
        <w:pStyle w:val="Normal"/>
        <w:spacing w:before="200" w:after="60"/>
        <w:jc w:val="left"/>
        <w:rPr/>
      </w:pPr>
      <w:r>
        <w:rPr>
          <w:rFonts w:eastAsia="Times New Roman" w:cs="Times New Roman"/>
          <w:b/>
          <w:bCs/>
          <w:caps/>
          <w:sz w:val="24"/>
          <w:szCs w:val="24"/>
        </w:rPr>
        <w:t>Acknowledgments</w:t>
      </w:r>
    </w:p>
    <w:p>
      <w:pPr>
        <w:pStyle w:val="Normal"/>
        <w:spacing w:lineRule="auto" w:line="480"/>
        <w:jc w:val="both"/>
        <w:rPr/>
      </w:pPr>
      <w:r>
        <w:rPr>
          <w:rFonts w:eastAsia="Times New Roman" w:cs="Times New Roman"/>
          <w:sz w:val="24"/>
          <w:szCs w:val="24"/>
        </w:rPr>
        <w:t>The authors thank the Instituto Federal de Goias (IFG), Campus Anapolis, for institutional support. No external funding was received for this research.</w:t>
      </w:r>
    </w:p>
    <w:p>
      <w:pPr>
        <w:pStyle w:val="Normal"/>
        <w:spacing w:before="200" w:after="60"/>
        <w:jc w:val="left"/>
        <w:rPr/>
      </w:pPr>
      <w:r>
        <w:rPr>
          <w:rFonts w:eastAsia="Times New Roman" w:cs="Times New Roman"/>
          <w:b/>
          <w:bCs/>
          <w:caps/>
          <w:sz w:val="24"/>
          <w:szCs w:val="24"/>
        </w:rPr>
        <w:t>References</w:t>
      </w:r>
    </w:p>
    <w:p>
      <w:pPr>
        <w:pStyle w:val="Normal"/>
        <w:spacing w:before="0" w:after="60"/>
        <w:ind w:left="360" w:hanging="360"/>
        <w:jc w:val="both"/>
        <w:rPr/>
      </w:pPr>
      <w:r>
        <w:rPr>
          <w:rFonts w:eastAsia="Times New Roman" w:cs="Times New Roman"/>
          <w:sz w:val="24"/>
          <w:szCs w:val="24"/>
        </w:rPr>
        <w:t>1. Skoog, D. A.; Holler, F. J.; Nieman, T. A.; Principles of Instrumental Analysis, 5th ed.; Brooks Cole, USA, 1997.</w:t>
      </w:r>
    </w:p>
    <w:p>
      <w:pPr>
        <w:pStyle w:val="Normal"/>
        <w:spacing w:before="0" w:after="60"/>
        <w:ind w:left="360" w:hanging="360"/>
        <w:jc w:val="both"/>
        <w:rPr/>
      </w:pPr>
      <w:r>
        <w:rPr>
          <w:rFonts w:eastAsia="Times New Roman" w:cs="Times New Roman"/>
          <w:sz w:val="24"/>
          <w:szCs w:val="24"/>
        </w:rPr>
        <w:t>2. Hardle, W.; Simar, L.; Applied Multivariate Statistical Analysis, 2nd ed.; Springer-Verlag, Berlin, Germany, 2007.</w:t>
      </w:r>
    </w:p>
    <w:p>
      <w:pPr>
        <w:pStyle w:val="Normal"/>
        <w:spacing w:before="0" w:after="60"/>
        <w:ind w:left="360" w:hanging="360"/>
        <w:jc w:val="both"/>
        <w:rPr/>
      </w:pPr>
      <w:r>
        <w:rPr>
          <w:rFonts w:eastAsia="Times New Roman" w:cs="Times New Roman"/>
          <w:sz w:val="24"/>
          <w:szCs w:val="24"/>
        </w:rPr>
        <w:t>3. Breiman, L.; Mach. Learn. 1996, 24, 123.</w:t>
      </w:r>
    </w:p>
    <w:p>
      <w:pPr>
        <w:pStyle w:val="Normal"/>
        <w:spacing w:before="0" w:after="60"/>
        <w:ind w:left="360" w:hanging="360"/>
        <w:jc w:val="both"/>
        <w:rPr/>
      </w:pPr>
      <w:r>
        <w:rPr>
          <w:rFonts w:eastAsia="Times New Roman" w:cs="Times New Roman"/>
          <w:sz w:val="24"/>
          <w:szCs w:val="24"/>
        </w:rPr>
        <w:t>4. Galvao, R. K. H.; Araujo, M. C. U.; Jose, G. E.; Pontes, M. J. C.; Silva, E. C.; Saldanha, T. C. B.; Chemom. Intell. Lab. Syst. 2006, 81, 60.</w:t>
      </w:r>
    </w:p>
    <w:p>
      <w:pPr>
        <w:pStyle w:val="Normal"/>
        <w:spacing w:before="0" w:after="60"/>
        <w:ind w:left="360" w:hanging="360"/>
        <w:jc w:val="both"/>
        <w:rPr/>
      </w:pPr>
      <w:r>
        <w:rPr>
          <w:rFonts w:eastAsia="Times New Roman" w:cs="Times New Roman"/>
          <w:sz w:val="24"/>
          <w:szCs w:val="24"/>
        </w:rPr>
        <w:t>5. Rathnayake, S.; Olive, D.; DiVA Portal 2022, n. 1669623.</w:t>
      </w:r>
    </w:p>
    <w:p>
      <w:pPr>
        <w:pStyle w:val="Normal"/>
        <w:spacing w:before="0" w:after="60"/>
        <w:ind w:left="360" w:hanging="360"/>
        <w:jc w:val="both"/>
        <w:rPr/>
      </w:pPr>
      <w:r>
        <w:rPr>
          <w:rFonts w:eastAsia="Times New Roman" w:cs="Times New Roman"/>
          <w:sz w:val="24"/>
          <w:szCs w:val="24"/>
        </w:rPr>
        <w:t>6. Buhlmann, P.; Bagging, Subagging and Bragging for Improving some Prediction Algorithms; Technical Report, ETH Zurich, 2003.</w:t>
      </w:r>
    </w:p>
    <w:p>
      <w:pPr>
        <w:pStyle w:val="Normal"/>
        <w:spacing w:before="0" w:after="60"/>
        <w:ind w:left="360" w:hanging="360"/>
        <w:jc w:val="both"/>
        <w:rPr/>
      </w:pPr>
      <w:r>
        <w:rPr>
          <w:rFonts w:eastAsia="Times New Roman" w:cs="Times New Roman"/>
          <w:sz w:val="24"/>
          <w:szCs w:val="24"/>
        </w:rPr>
        <w:t>7. Pimentel, M. F.; Galvao, R. K. H.; Araujo, M. C. U.; Pontes, M. J. C.; J. Autom. Chem. 1998, 20, 69.</w:t>
      </w:r>
    </w:p>
    <w:p>
      <w:pPr>
        <w:pStyle w:val="Normal"/>
        <w:spacing w:before="0" w:after="60"/>
        <w:ind w:left="360" w:hanging="360"/>
        <w:jc w:val="both"/>
        <w:rPr/>
      </w:pPr>
      <w:r>
        <w:rPr>
          <w:rFonts w:eastAsia="Times New Roman" w:cs="Times New Roman"/>
          <w:sz w:val="24"/>
          <w:szCs w:val="24"/>
        </w:rPr>
        <w:t>8. Westad, F.; Flatен, G. R.; Front. Anal. Sci. 2024, 4, 1393222.</w:t>
      </w:r>
    </w:p>
    <w:p>
      <w:pPr>
        <w:pStyle w:val="Normal"/>
        <w:spacing w:before="0" w:after="60"/>
        <w:ind w:left="360" w:hanging="360"/>
        <w:jc w:val="both"/>
        <w:rPr/>
      </w:pPr>
      <w:r>
        <w:rPr>
          <w:rFonts w:eastAsia="Times New Roman" w:cs="Times New Roman"/>
          <w:sz w:val="24"/>
          <w:szCs w:val="24"/>
        </w:rPr>
        <w:t>9. Hodson, T. O.; Geosci. Model Dev. 2022, 15, 5481.</w:t>
      </w:r>
    </w:p>
    <w:sectPr>
      <w:headerReference w:type="default" r:id="rId2"/>
      <w:footerReference w:type="default" r:id="rId3"/>
      <w:type w:val="nextPage"/>
      <w:pgSz w:w="11906" w:h="16838"/>
      <w:pgMar w:left="1800" w:right="1800" w:header="708" w:top="1440" w:footer="708" w:bottom="1440"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before="0" w:after="0"/>
      <w:jc w:val="center"/>
      <w:rPr/>
    </w:pPr>
    <w:r>
      <w:rPr>
        <w:rFonts w:eastAsia="Times New Roman" w:cs="Times New Roman"/>
        <w:i/>
        <w:iCs/>
        <w:sz w:val="20"/>
        <w:szCs w:val="20"/>
      </w:rPr>
      <w:t>J. Braz. Chem. Soc.</w:t>
    </w:r>
    <w:r>
      <w:rPr>
        <w:rFonts w:eastAsia="Times New Roman" w:cs="Times New Roman"/>
        <w:sz w:val="20"/>
        <w:szCs w:val="20"/>
      </w:rPr>
      <w:t xml:space="preserve">  |  </w:t>
    </w:r>
    <w:r>
      <w:rPr>
        <w:rFonts w:eastAsia="Times New Roman" w:cs="Times New Roman"/>
        <w:sz w:val="20"/>
        <w:szCs w:val="20"/>
      </w:rPr>
      <w:fldChar w:fldCharType="begin"/>
    </w:r>
    <w:r>
      <w:instrText> PAGE </w:instrText>
    </w:r>
    <w:r>
      <w:fldChar w:fldCharType="separate"/>
    </w:r>
    <w:r>
      <w:t>3</w:t>
    </w:r>
    <w: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before="0" w:after="0"/>
      <w:jc w:val="right"/>
      <w:rPr/>
    </w:pPr>
    <w:r>
      <w:rPr>
        <w:rFonts w:eastAsia="Times New Roman" w:cs="Times New Roman"/>
        <w:i/>
        <w:iCs/>
        <w:sz w:val="20"/>
        <w:szCs w:val="20"/>
      </w:rPr>
      <w:t>Araujo, W. O. de; Silva, C. N.</w:t>
    </w:r>
  </w:p>
</w:hdr>
</file>

<file path=word/settings.xml><?xml version="1.0" encoding="utf-8"?>
<w:settings xmlns:w="http://schemas.openxmlformats.org/wordprocessingml/2006/main">
  <w:zoom w:percent="10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pt-BR" w:eastAsia="zh-CN" w:bidi="hi-IN"/>
      </w:rPr>
    </w:rPrDefault>
    <w:pPrDefault>
      <w:pPr/>
    </w:pPrDefault>
  </w:docDefaults>
  <w:style w:type="paragraph" w:styleId="Normal">
    <w:name w:val="Normal"/>
    <w:qFormat/>
    <w:pPr>
      <w:widowControl w:val="false"/>
    </w:pPr>
    <w:rPr>
      <w:rFonts w:ascii="Times New Roman" w:hAnsi="Times New Roman" w:eastAsia="Times New Roman" w:cs="Times New Roman"/>
      <w:color w:val="auto"/>
      <w:sz w:val="24"/>
      <w:szCs w:val="24"/>
      <w:lang w:val="pt-BR" w:eastAsia="zh-CN" w:bidi="hi-IN"/>
    </w:rPr>
  </w:style>
  <w:style w:type="paragraph" w:styleId="Ttulo1">
    <w:name w:val="Heading 1"/>
    <w:basedOn w:val="Ttulo"/>
    <w:qFormat/>
    <w:pPr/>
    <w:rPr>
      <w:color w:val="2E74B5"/>
      <w:sz w:val="32"/>
      <w:szCs w:val="32"/>
    </w:rPr>
  </w:style>
  <w:style w:type="paragraph" w:styleId="Ttulo2">
    <w:name w:val="Heading 2"/>
    <w:basedOn w:val="Ttulo"/>
    <w:qFormat/>
    <w:pPr/>
    <w:rPr>
      <w:color w:val="2E74B5"/>
      <w:sz w:val="26"/>
      <w:szCs w:val="26"/>
    </w:rPr>
  </w:style>
  <w:style w:type="paragraph" w:styleId="Ttulo3">
    <w:name w:val="Heading 3"/>
    <w:basedOn w:val="Ttulo"/>
    <w:qFormat/>
    <w:pPr/>
    <w:rPr>
      <w:color w:val="1F4D78"/>
      <w:sz w:val="24"/>
      <w:szCs w:val="24"/>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LinkdaInternet">
    <w:name w:val="Link da Internet"/>
    <w:uiPriority w:val="99"/>
    <w:unhideWhenUsed/>
    <w:rPr>
      <w:color w:val="0563C1"/>
      <w:u w:val="single"/>
    </w:rPr>
  </w:style>
  <w:style w:type="character" w:styleId="Footnotereference">
    <w:name w:val="footnote reference"/>
    <w:uiPriority w:val="99"/>
    <w:semiHidden/>
    <w:unhideWhenUsed/>
    <w:qFormat/>
    <w:rPr>
      <w:vertAlign w:val="superscript"/>
    </w:rPr>
  </w:style>
  <w:style w:type="character" w:styleId="FootnoteTextChar">
    <w:name w:val="Footnote Text Char"/>
    <w:link w:val="FootnoteText"/>
    <w:uiPriority w:val="99"/>
    <w:semiHidden/>
    <w:unhideWhenUsed/>
    <w:qFormat/>
    <w:rPr>
      <w:sz w:val="20"/>
      <w:szCs w:val="20"/>
    </w:rPr>
  </w:style>
  <w:style w:type="character" w:styleId="Endnotereference">
    <w:name w:val="endnote reference"/>
    <w:uiPriority w:val="99"/>
    <w:semiHidden/>
    <w:unhideWhenUsed/>
    <w:qFormat/>
    <w:rPr>
      <w:vertAlign w:val="superscript"/>
    </w:rPr>
  </w:style>
  <w:style w:type="character" w:styleId="EndnoteTextChar">
    <w:name w:val="Endnote Text Char"/>
    <w:link w:val="EndnoteText"/>
    <w:uiPriority w:val="99"/>
    <w:semiHidden/>
    <w:unhideWhenUsed/>
    <w:qFormat/>
    <w:rPr>
      <w:sz w:val="20"/>
      <w:szCs w:val="20"/>
    </w:rPr>
  </w:style>
  <w:style w:type="paragraph" w:styleId="Ttulo">
    <w:name w:val="Título"/>
    <w:basedOn w:val="Normal"/>
    <w:next w:val="Corpodetexto"/>
    <w:qFormat/>
    <w:pPr>
      <w:keepNext/>
      <w:spacing w:before="240" w:after="120"/>
    </w:pPr>
    <w:rPr>
      <w:rFonts w:ascii="Liberation Sans" w:hAnsi="Liberation Sans" w:eastAsia="Microsoft YaHei" w:cs="Lucida Sans"/>
      <w:sz w:val="28"/>
      <w:szCs w:val="28"/>
    </w:rPr>
  </w:style>
  <w:style w:type="paragraph" w:styleId="Corpodetexto">
    <w:name w:val="Body Text"/>
    <w:basedOn w:val="Normal"/>
    <w:pPr>
      <w:spacing w:lineRule="auto" w:line="288" w:before="0" w:after="140"/>
    </w:pPr>
    <w:rPr/>
  </w:style>
  <w:style w:type="paragraph" w:styleId="Lista">
    <w:name w:val="List"/>
    <w:basedOn w:val="Corpodetexto"/>
    <w:pPr/>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dodocumento">
    <w:name w:val="Title"/>
    <w:basedOn w:val="Ttulo"/>
    <w:qFormat/>
    <w:pPr/>
    <w:rPr>
      <w:sz w:val="56"/>
      <w:szCs w:val="56"/>
    </w:rPr>
  </w:style>
  <w:style w:type="paragraph" w:styleId="Strong">
    <w:name w:val="Strong"/>
    <w:qFormat/>
    <w:pPr>
      <w:widowControl w:val="false"/>
    </w:pPr>
    <w:rPr>
      <w:rFonts w:ascii="Times New Roman" w:hAnsi="Times New Roman" w:eastAsia="Times New Roman" w:cs="Times New Roman"/>
      <w:b/>
      <w:bCs/>
      <w:color w:val="auto"/>
      <w:sz w:val="24"/>
      <w:szCs w:val="24"/>
      <w:lang w:val="pt-BR" w:eastAsia="zh-CN" w:bidi="hi-IN"/>
    </w:rPr>
  </w:style>
  <w:style w:type="paragraph" w:styleId="ListParagraph">
    <w:name w:val="List Paragraph"/>
    <w:qFormat/>
    <w:pPr>
      <w:widowControl w:val="false"/>
    </w:pPr>
    <w:rPr>
      <w:rFonts w:ascii="Times New Roman" w:hAnsi="Times New Roman" w:eastAsia="Times New Roman" w:cs="Times New Roman"/>
      <w:color w:val="auto"/>
      <w:sz w:val="24"/>
      <w:szCs w:val="24"/>
      <w:lang w:val="pt-BR" w:eastAsia="zh-CN" w:bidi="hi-IN"/>
    </w:rPr>
  </w:style>
  <w:style w:type="paragraph" w:styleId="Footnotetext">
    <w:name w:val="footnote text"/>
    <w:link w:val="FootnoteTextChar"/>
    <w:uiPriority w:val="99"/>
    <w:semiHidden/>
    <w:unhideWhenUsed/>
    <w:qFormat/>
    <w:pPr>
      <w:widowControl w:val="false"/>
      <w:spacing w:lineRule="auto" w:line="240" w:before="0" w:after="0"/>
    </w:pPr>
    <w:rPr>
      <w:rFonts w:ascii="Times New Roman" w:hAnsi="Times New Roman" w:eastAsia="Times New Roman" w:cs="Times New Roman"/>
      <w:color w:val="auto"/>
      <w:sz w:val="20"/>
      <w:szCs w:val="20"/>
      <w:lang w:val="pt-BR" w:eastAsia="zh-CN" w:bidi="hi-IN"/>
    </w:rPr>
  </w:style>
  <w:style w:type="paragraph" w:styleId="Endnotetext">
    <w:name w:val="endnote text"/>
    <w:link w:val="EndnoteTextChar"/>
    <w:uiPriority w:val="99"/>
    <w:semiHidden/>
    <w:unhideWhenUsed/>
    <w:qFormat/>
    <w:pPr>
      <w:widowControl w:val="false"/>
      <w:spacing w:lineRule="auto" w:line="240" w:before="0" w:after="0"/>
    </w:pPr>
    <w:rPr>
      <w:rFonts w:ascii="Times New Roman" w:hAnsi="Times New Roman" w:eastAsia="Times New Roman" w:cs="Times New Roman"/>
      <w:color w:val="auto"/>
      <w:sz w:val="20"/>
      <w:szCs w:val="20"/>
      <w:lang w:val="pt-BR" w:eastAsia="zh-CN" w:bidi="hi-IN"/>
    </w:rPr>
  </w:style>
  <w:style w:type="paragraph" w:styleId="Cabealho">
    <w:name w:val="Header"/>
    <w:basedOn w:val="Normal"/>
    <w:pPr/>
    <w:rPr/>
  </w:style>
  <w:style w:type="paragraph" w:styleId="Rodap">
    <w:name w:val="Footer"/>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LibreOffice/5.3.2.2$Windows_x86 LibreOffice_project/6cd4f1ef626f15116896b1d8e1398b56da0d0ee1</Application>
  <Pages>9</Pages>
  <Words>946</Words>
  <Characters>5552</Characters>
  <CharactersWithSpaces>6350</CharactersWithSpaces>
  <Paragraphs>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2026-04-11T23:27:19Z</dcterms:created>
  <dc:creator>Un-named</dc:creator>
  <dc:description/>
  <dc:language>pt-BR</dc:language>
  <cp:lastModifiedBy>Un-named</cp:lastModifiedBy>
  <dcterms:modified xsi:type="dcterms:W3CDTF">2026-04-11T23:27:19Z</dcterms:modified>
  <cp:revision>1</cp:revision>
  <dc:subject/>
  <dc:title/>
</cp:coreProperties>
</file>