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480"/>
        <w:jc w:val="center"/>
        <w:rPr/>
      </w:pPr>
      <w:r>
        <w:rPr>
          <w:b/>
          <w:bCs/>
        </w:rPr>
        <w:t>MULTIVARIATE CALIBRATION MODELING: MULTIPLE LINEAR REGRESSION WITH ENSEMBLE METHODS AND EVALUATION BY ROOT MEAN SQUARE ERROR OF PREDICTION</w:t>
      </w:r>
    </w:p>
    <w:p>
      <w:pPr>
        <w:pStyle w:val="Normal"/>
        <w:spacing w:before="0" w:after="60"/>
        <w:jc w:val="center"/>
        <w:rPr/>
      </w:pPr>
      <w:r>
        <w:rPr>
          <w:b/>
          <w:bCs/>
          <w:i/>
          <w:iCs/>
        </w:rPr>
        <w:t>Wagner Oliveira de Araujo and Cid Nelson Silva</w:t>
      </w:r>
      <w:r>
        <w:rPr>
          <w:b/>
          <w:bCs/>
          <w:i/>
          <w:iCs/>
          <w:vertAlign w:val="superscript"/>
        </w:rPr>
        <w:t>*</w:t>
      </w:r>
    </w:p>
    <w:p>
      <w:pPr>
        <w:pStyle w:val="Normal"/>
        <w:spacing w:before="0" w:after="60"/>
        <w:jc w:val="center"/>
        <w:rPr/>
      </w:pPr>
      <w:r>
        <w:rPr>
          <w:i/>
          <w:iCs/>
          <w:sz w:val="20"/>
          <w:szCs w:val="20"/>
        </w:rPr>
        <w:t>Instituto Federal de Educacao, Ciencia e Tecnologia de Goias (IFG), Campus Anapolis, Bacharelado em Ciencia da Computacao, Anapolis, GO, Brazil</w:t>
      </w:r>
    </w:p>
    <w:p>
      <w:pPr>
        <w:pStyle w:val="Normal"/>
        <w:spacing w:before="0" w:after="200"/>
        <w:jc w:val="center"/>
        <w:rPr/>
      </w:pPr>
      <w:r>
        <w:rPr>
          <w:i/>
          <w:iCs/>
          <w:sz w:val="20"/>
          <w:szCs w:val="20"/>
        </w:rPr>
        <w:t>*cid.silva@ifg.edu.br</w:t>
      </w:r>
    </w:p>
    <w:p>
      <w:pPr>
        <w:pStyle w:val="Normal"/>
        <w:spacing w:lineRule="auto" w:line="480"/>
        <w:jc w:val="both"/>
        <w:rPr/>
      </w:pPr>
      <w:r>
        <w:rPr/>
        <w:t>This study investigates the application of resampling techniques — bagging and subagging — combined with Multiple Linear Regression (MLR) for multivariate calibration of steel alloy samples (Mn, Cr, Mo, Ni, Fe) analyzed by inductively coupled plasma optical emission spectrometry (ICP-OES). The spectral dataset comprises 723 variables per sample, with 17 calibration and up to 34 test samples per element, representing a high-dimensionality regime treated via Moore-Penrose pseudoinverse. Hyperparameter optimization was performed using 5-fold cross-validation applied exclusively to the calibration set. Results show no universally superior technique: MLR-subagging achieved the best RMSEP for Mn (0.0966) and Ni (1.6003); MLR-bagging was superior for Fe (RMSEP = 2.6406); classical MLR performed best for Mo and Cr. All models showed R</w:t>
      </w:r>
      <w:r>
        <w:rPr>
          <w:vertAlign w:val="superscript"/>
        </w:rPr>
        <w:t>2</w:t>
      </w:r>
      <w:r>
        <w:rPr/>
        <w:t xml:space="preserve"> &gt; 0.98. MLR-subagging was on average 3.0 times faster than MLR-bagging, making it a balanced alternative between accuracy and computational efficiency.</w:t>
      </w:r>
    </w:p>
    <w:p>
      <w:pPr>
        <w:pStyle w:val="Normal"/>
        <w:spacing w:before="0" w:after="200"/>
        <w:jc w:val="both"/>
        <w:rPr/>
      </w:pPr>
      <w:r>
        <w:rPr>
          <w:b/>
          <w:bCs/>
        </w:rPr>
        <w:t xml:space="preserve">Keywords: </w:t>
      </w:r>
      <w:r>
        <w:rPr/>
        <w:t>resampling; multivariate calibration; bagging; subagging; chemometrics; steel alloys.</w:t>
      </w:r>
    </w:p>
    <w:p>
      <w:pPr>
        <w:pStyle w:val="Normal"/>
        <w:spacing w:before="200" w:after="60"/>
        <w:rPr/>
      </w:pPr>
      <w:r>
        <w:rPr>
          <w:b/>
          <w:bCs/>
          <w:caps/>
        </w:rPr>
        <w:t>Introduction</w:t>
      </w:r>
    </w:p>
    <w:p>
      <w:pPr>
        <w:pStyle w:val="Normal"/>
        <w:spacing w:lineRule="auto" w:line="480"/>
        <w:ind w:firstLine="720"/>
        <w:jc w:val="both"/>
        <w:rPr/>
      </w:pPr>
      <w:r>
        <w:rPr/>
        <w:t>Multivariate calibration plays a fundamental role in analytical chemistry and industrial quality control, enabling the extraction of quantitative information from complex spectral data.</w:t>
      </w:r>
    </w:p>
    <w:p>
      <w:pPr>
        <w:pStyle w:val="Normal"/>
        <w:spacing w:lineRule="auto" w:line="480"/>
        <w:ind w:firstLine="720"/>
        <w:jc w:val="both"/>
        <w:rPr/>
      </w:pPr>
      <w:r>
        <w:rPr/>
      </w:r>
    </w:p>
    <w:p>
      <w:pPr>
        <w:pStyle w:val="Normal"/>
        <w:spacing w:lineRule="auto" w:line="480"/>
        <w:ind w:firstLine="720"/>
        <w:jc w:val="both"/>
        <w:rPr/>
      </w:pPr>
      <w:r>
        <w:rPr/>
      </w:r>
    </w:p>
    <w:p>
      <w:pPr>
        <w:pStyle w:val="Normal"/>
        <w:spacing w:lineRule="auto" w:line="480"/>
        <w:ind w:firstLine="720"/>
        <w:jc w:val="both"/>
        <w:rPr/>
      </w:pPr>
      <w:r>
        <w:rPr/>
        <w:t>This work aims to compare MLR, MLR-bagging and MLR-subagging for multivariate calibration of steel alloy spectra, evaluating predictive accuracy (RMSEP, MAE, R2) and computational efficiency. Hyperparameter selection is conducted by 5-fold cross-validation, ensuring methodological rigor and reproducibility.</w:t>
      </w:r>
    </w:p>
    <w:p>
      <w:pPr>
        <w:pStyle w:val="Normal"/>
        <w:spacing w:before="200" w:after="60"/>
        <w:rPr/>
      </w:pPr>
      <w:r>
        <w:rPr>
          <w:b/>
          <w:bCs/>
          <w:caps/>
        </w:rPr>
        <w:t>Experimental</w:t>
      </w:r>
    </w:p>
    <w:p>
      <w:pPr>
        <w:pStyle w:val="Normal"/>
        <w:spacing w:before="120" w:after="40"/>
        <w:rPr/>
      </w:pPr>
      <w:r>
        <w:rPr>
          <w:b/>
          <w:bCs/>
        </w:rPr>
        <w:t>Steel alloy dataset</w:t>
      </w:r>
    </w:p>
    <w:p>
      <w:pPr>
        <w:pStyle w:val="Normal"/>
        <w:spacing w:lineRule="auto" w:line="480"/>
        <w:ind w:firstLine="720"/>
        <w:jc w:val="both"/>
        <w:rPr/>
      </w:pPr>
      <w:r>
        <w:rPr/>
      </w:r>
    </w:p>
    <w:p>
      <w:pPr>
        <w:pStyle w:val="Normal"/>
        <w:rPr/>
      </w:pPr>
      <w:r>
        <w:rPr/>
      </w:r>
    </w:p>
    <w:p>
      <w:pPr>
        <w:pStyle w:val="Normal"/>
        <w:spacing w:before="80" w:after="60"/>
        <w:jc w:val="center"/>
        <w:rPr/>
      </w:pPr>
      <w:r>
        <w:rPr>
          <w:b/>
          <w:bCs/>
        </w:rPr>
        <w:t>Table 1.</w:t>
      </w:r>
      <w:r>
        <w:rPr/>
        <w:t xml:space="preserve"> Dimensions of calibration and test datasets for each analyte</w:t>
      </w:r>
    </w:p>
    <w:tbl>
      <w:tblPr>
        <w:tblW w:w="8800" w:type="dxa"/>
        <w:jc w:val="left"/>
        <w:tblInd w:w="7" w:type="dxa"/>
        <w:tblBorders>
          <w:top w:val="single" w:sz="8" w:space="0" w:color="000001"/>
          <w:bottom w:val="single" w:sz="8" w:space="0" w:color="000001"/>
          <w:insideH w:val="single" w:sz="8" w:space="0" w:color="000001"/>
        </w:tblBorders>
        <w:tblCellMar>
          <w:top w:w="60" w:type="dxa"/>
          <w:left w:w="120" w:type="dxa"/>
          <w:bottom w:w="60" w:type="dxa"/>
          <w:right w:w="120" w:type="dxa"/>
        </w:tblCellMar>
        <w:tblLook w:firstRow="0" w:noVBand="0" w:lastRow="0" w:firstColumn="0" w:lastColumn="0" w:noHBand="0" w:val="0000"/>
      </w:tblPr>
      <w:tblGrid>
        <w:gridCol w:w="1200"/>
        <w:gridCol w:w="3800"/>
        <w:gridCol w:w="3800"/>
      </w:tblGrid>
      <w:tr>
        <w:trPr/>
        <w:tc>
          <w:tcPr>
            <w:tcW w:w="120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Element</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Calibration set</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Test set</w:t>
            </w:r>
          </w:p>
        </w:tc>
      </w:tr>
      <w:tr>
        <w:trPr/>
        <w:tc>
          <w:tcPr>
            <w:tcW w:w="1200" w:type="dxa"/>
            <w:tcBorders>
              <w:top w:val="single" w:sz="8" w:space="0" w:color="000001"/>
              <w:bottom w:val="single" w:sz="8" w:space="0" w:color="000001"/>
              <w:insideH w:val="single" w:sz="8" w:space="0" w:color="000001"/>
            </w:tcBorders>
            <w:shd w:color="auto" w:fill="auto" w:val="clear"/>
          </w:tcPr>
          <w:p>
            <w:pPr>
              <w:pStyle w:val="Normal"/>
              <w:jc w:val="center"/>
              <w:rPr/>
            </w:pPr>
            <w:r>
              <w:rPr/>
              <w:t>Mn</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Xcal (17x723), Ycal (17x1)</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Xtest (34x723), ytest (34x1)</w:t>
            </w:r>
          </w:p>
        </w:tc>
      </w:tr>
      <w:tr>
        <w:trPr/>
        <w:tc>
          <w:tcPr>
            <w:tcW w:w="1200" w:type="dxa"/>
            <w:tcBorders>
              <w:top w:val="single" w:sz="8" w:space="0" w:color="000001"/>
              <w:bottom w:val="single" w:sz="8" w:space="0" w:color="000001"/>
              <w:insideH w:val="single" w:sz="8" w:space="0" w:color="000001"/>
            </w:tcBorders>
            <w:shd w:color="auto" w:fill="auto" w:val="clear"/>
          </w:tcPr>
          <w:p>
            <w:pPr>
              <w:pStyle w:val="Normal"/>
              <w:jc w:val="center"/>
              <w:rPr/>
            </w:pPr>
            <w:r>
              <w:rPr/>
              <w:t>Mo</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Xcal (17x723), Ycal (17x1)</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Xtest (21x723), ytest (21x1)</w:t>
            </w:r>
          </w:p>
        </w:tc>
      </w:tr>
      <w:tr>
        <w:trPr/>
        <w:tc>
          <w:tcPr>
            <w:tcW w:w="1200" w:type="dxa"/>
            <w:tcBorders>
              <w:top w:val="single" w:sz="8" w:space="0" w:color="000001"/>
              <w:bottom w:val="single" w:sz="8" w:space="0" w:color="000001"/>
              <w:insideH w:val="single" w:sz="8" w:space="0" w:color="000001"/>
            </w:tcBorders>
            <w:shd w:color="auto" w:fill="auto" w:val="clear"/>
          </w:tcPr>
          <w:p>
            <w:pPr>
              <w:pStyle w:val="Normal"/>
              <w:jc w:val="center"/>
              <w:rPr/>
            </w:pPr>
            <w:r>
              <w:rPr/>
              <w:t>Cr</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Xcal (17x723), Ycal (17x1)</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Xtest (34x723), ytest (34x1)</w:t>
            </w:r>
          </w:p>
        </w:tc>
      </w:tr>
      <w:tr>
        <w:trPr/>
        <w:tc>
          <w:tcPr>
            <w:tcW w:w="1200" w:type="dxa"/>
            <w:tcBorders>
              <w:top w:val="single" w:sz="8" w:space="0" w:color="000001"/>
              <w:bottom w:val="single" w:sz="8" w:space="0" w:color="000001"/>
              <w:insideH w:val="single" w:sz="8" w:space="0" w:color="000001"/>
            </w:tcBorders>
            <w:shd w:color="auto" w:fill="auto" w:val="clear"/>
          </w:tcPr>
          <w:p>
            <w:pPr>
              <w:pStyle w:val="Normal"/>
              <w:jc w:val="center"/>
              <w:rPr/>
            </w:pPr>
            <w:r>
              <w:rPr/>
              <w:t>Ni</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Xcal (17x723), Ycal (17x1)</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Xtest (20x723), ytest (20x1)</w:t>
            </w:r>
          </w:p>
        </w:tc>
      </w:tr>
      <w:tr>
        <w:trPr/>
        <w:tc>
          <w:tcPr>
            <w:tcW w:w="1200" w:type="dxa"/>
            <w:tcBorders>
              <w:top w:val="single" w:sz="8" w:space="0" w:color="000001"/>
              <w:bottom w:val="single" w:sz="8" w:space="0" w:color="000001"/>
              <w:insideH w:val="single" w:sz="8" w:space="0" w:color="000001"/>
            </w:tcBorders>
            <w:shd w:color="auto" w:fill="auto" w:val="clear"/>
          </w:tcPr>
          <w:p>
            <w:pPr>
              <w:pStyle w:val="Normal"/>
              <w:jc w:val="center"/>
              <w:rPr/>
            </w:pPr>
            <w:r>
              <w:rPr/>
              <w:t>Fe</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Xcal (17x723), Ycal (17x1)</w:t>
            </w:r>
          </w:p>
        </w:tc>
        <w:tc>
          <w:tcPr>
            <w:tcW w:w="3800" w:type="dxa"/>
            <w:tcBorders>
              <w:top w:val="single" w:sz="8" w:space="0" w:color="000001"/>
              <w:bottom w:val="single" w:sz="8" w:space="0" w:color="000001"/>
              <w:insideH w:val="single" w:sz="8" w:space="0" w:color="000001"/>
            </w:tcBorders>
            <w:shd w:color="auto" w:fill="auto" w:val="clear"/>
          </w:tcPr>
          <w:p>
            <w:pPr>
              <w:pStyle w:val="Normal"/>
              <w:jc w:val="center"/>
              <w:rPr/>
            </w:pPr>
            <w:r>
              <w:rPr/>
              <w:t>Xtest (34x723), ytest (34x1)</w:t>
            </w:r>
          </w:p>
        </w:tc>
      </w:tr>
    </w:tbl>
    <w:p>
      <w:pPr>
        <w:pStyle w:val="Normal"/>
        <w:spacing w:before="60" w:after="120"/>
        <w:jc w:val="center"/>
        <w:rPr/>
      </w:pPr>
      <w:r>
        <w:rPr>
          <w:sz w:val="20"/>
          <w:szCs w:val="20"/>
        </w:rPr>
        <w:t>Each sample is represented by 723 spectral variables, yielding ~42 predictors per calibration observation.</w:t>
      </w:r>
    </w:p>
    <w:p>
      <w:pPr>
        <w:pStyle w:val="Normal"/>
        <w:spacing w:before="120" w:after="40"/>
        <w:rPr/>
      </w:pPr>
      <w:r>
        <w:rPr>
          <w:b/>
          <w:bCs/>
        </w:rPr>
        <w:t>Multiple Linear Regression</w:t>
      </w:r>
    </w:p>
    <w:p>
      <w:pPr>
        <w:pStyle w:val="Normal"/>
        <w:spacing w:lineRule="auto" w:line="480"/>
        <w:ind w:firstLine="720"/>
        <w:jc w:val="both"/>
        <w:rPr/>
      </w:pPr>
      <w:r>
        <w:rPr/>
      </w:r>
    </w:p>
    <w:p>
      <w:pPr>
        <w:pStyle w:val="Normal"/>
        <w:spacing w:before="60" w:after="60"/>
        <w:jc w:val="center"/>
        <w:rPr/>
      </w:pPr>
      <w:r>
        <w:rPr>
          <w:i/>
          <w:iCs/>
        </w:rPr>
        <w:t>β̂ = X⁺y ≜ (X</w:t>
      </w:r>
      <w:r>
        <w:rPr>
          <w:vertAlign w:val="superscript"/>
        </w:rPr>
        <w:t>T</w:t>
      </w:r>
      <w:r>
        <w:rPr>
          <w:i/>
          <w:iCs/>
        </w:rPr>
        <w:t>X)⁻¹X</w:t>
      </w:r>
      <w:r>
        <w:rPr>
          <w:vertAlign w:val="superscript"/>
        </w:rPr>
        <w:t>T</w:t>
      </w:r>
      <w:r>
        <w:rPr>
          <w:i/>
          <w:iCs/>
        </w:rPr>
        <w:t>y    (1)</w:t>
      </w:r>
    </w:p>
    <w:p>
      <w:pPr>
        <w:pStyle w:val="Normal"/>
        <w:spacing w:lineRule="auto" w:line="480"/>
        <w:ind w:firstLine="720"/>
        <w:jc w:val="both"/>
        <w:rPr/>
      </w:pPr>
      <w:r>
        <w:rPr/>
        <w:t>This formulation provides a unique solution even for under-determined systems (n &lt; p), as is inherent in high-dimensional spectrometric data.</w:t>
      </w:r>
    </w:p>
    <w:p>
      <w:pPr>
        <w:pStyle w:val="Normal"/>
        <w:spacing w:before="120" w:after="40"/>
        <w:rPr/>
      </w:pPr>
      <w:r>
        <w:rPr>
          <w:b/>
          <w:bCs/>
        </w:rPr>
        <w:t>Bagging and Subagging</w:t>
      </w:r>
    </w:p>
    <w:p>
      <w:pPr>
        <w:pStyle w:val="Normal"/>
        <w:spacing w:lineRule="auto" w:line="480"/>
        <w:ind w:firstLine="720"/>
        <w:jc w:val="both"/>
        <w:rPr/>
      </w:pPr>
      <w:r>
        <w:rPr/>
      </w:r>
    </w:p>
    <w:p>
      <w:pPr>
        <w:pStyle w:val="Normal"/>
        <w:spacing w:before="60" w:after="60"/>
        <w:jc w:val="center"/>
        <w:rPr/>
      </w:pPr>
      <w:r>
        <w:rPr/>
        <w:t>ŷ̂</w:t>
      </w:r>
      <w:r>
        <w:rPr>
          <w:sz w:val="20"/>
          <w:szCs w:val="20"/>
          <w:vertAlign w:val="subscript"/>
        </w:rPr>
        <w:t>bag</w:t>
      </w:r>
      <w:r>
        <w:rPr/>
        <w:t xml:space="preserve"> = (1/B) Σ</w:t>
      </w:r>
      <w:r>
        <w:rPr>
          <w:sz w:val="20"/>
          <w:szCs w:val="20"/>
          <w:vertAlign w:val="superscript"/>
        </w:rPr>
        <w:t>B</w:t>
      </w:r>
      <w:r>
        <w:rPr>
          <w:sz w:val="20"/>
          <w:szCs w:val="20"/>
          <w:vertAlign w:val="subscript"/>
        </w:rPr>
        <w:t>b=1</w:t>
      </w:r>
      <w:r>
        <w:rPr/>
        <w:t xml:space="preserve"> ŷ̂(b)  (2)</w:t>
      </w:r>
    </w:p>
    <w:p>
      <w:pPr>
        <w:pStyle w:val="Normal"/>
        <w:spacing w:lineRule="auto" w:line="480"/>
        <w:ind w:firstLine="720"/>
        <w:jc w:val="both"/>
        <w:rPr/>
      </w:pPr>
      <w:r>
        <w:rPr/>
      </w:r>
    </w:p>
    <w:p>
      <w:pPr>
        <w:pStyle w:val="Normal"/>
        <w:spacing w:before="120" w:after="40"/>
        <w:rPr/>
      </w:pPr>
      <w:r>
        <w:rPr>
          <w:b/>
          <w:bCs/>
        </w:rPr>
        <w:t>Hyperparameter selection and evaluation metrics</w:t>
      </w:r>
    </w:p>
    <w:p>
      <w:pPr>
        <w:pStyle w:val="Normal"/>
        <w:spacing w:lineRule="auto" w:line="480"/>
        <w:ind w:firstLine="720"/>
        <w:jc w:val="both"/>
        <w:rPr/>
      </w:pPr>
      <w:r>
        <w:rPr/>
      </w:r>
    </w:p>
    <w:p>
      <w:pPr>
        <w:pStyle w:val="Normal"/>
        <w:spacing w:before="40" w:after="20"/>
        <w:jc w:val="center"/>
        <w:rPr/>
      </w:pPr>
      <w:r>
        <w:rPr/>
        <w:t>RMSEP = √[ (1/n) Σ(ŷᵢ − yᵢ)² ]  (3)</w:t>
      </w:r>
    </w:p>
    <w:p>
      <w:pPr>
        <w:pStyle w:val="Normal"/>
        <w:spacing w:before="20" w:after="20"/>
        <w:jc w:val="center"/>
        <w:rPr/>
      </w:pPr>
      <w:r>
        <w:rPr/>
        <w:t>MAE = (1/n) Σ |ŷᵢ − yᵢ|  (4)</w:t>
      </w:r>
    </w:p>
    <w:p>
      <w:pPr>
        <w:pStyle w:val="Normal"/>
        <w:spacing w:before="20" w:after="100"/>
        <w:jc w:val="center"/>
        <w:rPr/>
      </w:pPr>
      <w:r>
        <w:rPr/>
        <w:t>R² = 1 − Σ(ŷᵢ − yᵢ)² / Σ(ȳ − yᵢ)²  (5)</w:t>
      </w:r>
    </w:p>
    <w:p>
      <w:pPr>
        <w:pStyle w:val="Normal"/>
        <w:spacing w:lineRule="auto" w:line="480"/>
        <w:ind w:firstLine="720"/>
        <w:jc w:val="both"/>
        <w:rPr/>
      </w:pPr>
      <w:r>
        <w:rPr/>
        <w:t>All algorithms were implemented in Java SE-17 (Eclipse IDE 2025-09) using EJML 0.43.1 for matrix operations and JFreeChart 1.5.4 for visualization. Grid search covered m ∈ {5,10,20,30,50} and k ∈ {0.50; 0.60; 0.70; 0.80}.</w:t>
      </w:r>
    </w:p>
    <w:p>
      <w:pPr>
        <w:pStyle w:val="Normal"/>
        <w:spacing w:before="200" w:after="60"/>
        <w:rPr/>
      </w:pPr>
      <w:r>
        <w:rPr>
          <w:b/>
          <w:bCs/>
          <w:caps/>
        </w:rPr>
        <w:t>Results and Discussion</w:t>
      </w:r>
    </w:p>
    <w:p>
      <w:pPr>
        <w:pStyle w:val="Normal"/>
        <w:spacing w:before="120" w:after="40"/>
        <w:rPr/>
      </w:pPr>
      <w:r>
        <w:rPr>
          <w:b/>
          <w:bCs/>
        </w:rPr>
        <w:t>Predictive performance</w:t>
      </w:r>
    </w:p>
    <w:p>
      <w:pPr>
        <w:pStyle w:val="Normal"/>
        <w:spacing w:lineRule="auto" w:line="480"/>
        <w:ind w:firstLine="720"/>
        <w:jc w:val="both"/>
        <w:rPr/>
      </w:pPr>
      <w:r>
        <w:rPr/>
      </w:r>
    </w:p>
    <w:p>
      <w:pPr>
        <w:pStyle w:val="Normal"/>
        <w:rPr/>
      </w:pPr>
      <w:r>
        <w:rPr/>
      </w:r>
    </w:p>
    <w:p>
      <w:pPr>
        <w:pStyle w:val="Normal"/>
        <w:spacing w:before="80" w:after="60"/>
        <w:jc w:val="center"/>
        <w:rPr/>
      </w:pPr>
      <w:r>
        <w:rPr>
          <w:b/>
          <w:bCs/>
        </w:rPr>
        <w:t>Table 2.</w:t>
      </w:r>
      <w:r>
        <w:rPr/>
        <w:t xml:space="preserve"> Comparative performance of MLR, MLR-bagging and MLR-subagging for steel alloy elements. Optimized parameters: 5-fold CV (seed = 42). (*) Best RMSEP per element.</w:t>
      </w:r>
    </w:p>
    <w:tbl>
      <w:tblPr>
        <w:tblW w:w="9200" w:type="dxa"/>
        <w:jc w:val="left"/>
        <w:tblInd w:w="7" w:type="dxa"/>
        <w:tblBorders>
          <w:top w:val="single" w:sz="8" w:space="0" w:color="000001"/>
          <w:bottom w:val="single" w:sz="8" w:space="0" w:color="000001"/>
          <w:insideH w:val="single" w:sz="8" w:space="0" w:color="000001"/>
        </w:tblBorders>
        <w:tblCellMar>
          <w:top w:w="60" w:type="dxa"/>
          <w:left w:w="120" w:type="dxa"/>
          <w:bottom w:w="60" w:type="dxa"/>
          <w:right w:w="120" w:type="dxa"/>
        </w:tblCellMar>
        <w:tblLook w:firstRow="0" w:noVBand="0" w:lastRow="0" w:firstColumn="0" w:lastColumn="0" w:noHBand="0" w:val="0000"/>
      </w:tblPr>
      <w:tblGrid>
        <w:gridCol w:w="1198"/>
        <w:gridCol w:w="1401"/>
        <w:gridCol w:w="1552"/>
        <w:gridCol w:w="1550"/>
        <w:gridCol w:w="1550"/>
        <w:gridCol w:w="1948"/>
      </w:tblGrid>
      <w:tr>
        <w:trPr/>
        <w:tc>
          <w:tcPr>
            <w:tcW w:w="1198" w:type="dxa"/>
            <w:tcBorders>
              <w:top w:val="single" w:sz="8" w:space="0" w:color="000001"/>
              <w:bottom w:val="single" w:sz="8" w:space="0" w:color="000001"/>
              <w:insideH w:val="single" w:sz="8" w:space="0" w:color="000001"/>
            </w:tcBorders>
            <w:shd w:color="auto" w:fill="D9D9D9" w:val="clear"/>
          </w:tcPr>
          <w:p>
            <w:pPr>
              <w:pStyle w:val="Normal"/>
              <w:jc w:val="center"/>
              <w:rPr/>
            </w:pPr>
            <w:r>
              <w:rPr>
                <w:b/>
                <w:bCs/>
              </w:rPr>
              <w:t>Element</w:t>
            </w:r>
          </w:p>
        </w:tc>
        <w:tc>
          <w:tcPr>
            <w:tcW w:w="1401" w:type="dxa"/>
            <w:tcBorders>
              <w:top w:val="single" w:sz="8" w:space="0" w:color="000001"/>
              <w:bottom w:val="single" w:sz="8" w:space="0" w:color="000001"/>
              <w:insideH w:val="single" w:sz="8" w:space="0" w:color="000001"/>
            </w:tcBorders>
            <w:shd w:color="auto" w:fill="D9D9D9" w:val="clear"/>
          </w:tcPr>
          <w:p>
            <w:pPr>
              <w:pStyle w:val="Normal"/>
              <w:jc w:val="center"/>
              <w:rPr/>
            </w:pPr>
            <w:r>
              <w:rPr>
                <w:b/>
                <w:bCs/>
              </w:rPr>
              <w:t>Technique</w:t>
            </w:r>
          </w:p>
        </w:tc>
        <w:tc>
          <w:tcPr>
            <w:tcW w:w="1552" w:type="dxa"/>
            <w:tcBorders>
              <w:top w:val="single" w:sz="8" w:space="0" w:color="000001"/>
              <w:bottom w:val="single" w:sz="8" w:space="0" w:color="000001"/>
              <w:insideH w:val="single" w:sz="8" w:space="0" w:color="000001"/>
            </w:tcBorders>
            <w:shd w:color="auto" w:fill="D9D9D9" w:val="clear"/>
          </w:tcPr>
          <w:p>
            <w:pPr>
              <w:pStyle w:val="Normal"/>
              <w:jc w:val="center"/>
              <w:rPr/>
            </w:pPr>
            <w:r>
              <w:rPr>
                <w:b/>
                <w:bCs/>
              </w:rPr>
              <w:t>RMSEP</w:t>
            </w:r>
          </w:p>
        </w:tc>
        <w:tc>
          <w:tcPr>
            <w:tcW w:w="1550" w:type="dxa"/>
            <w:tcBorders>
              <w:top w:val="single" w:sz="8" w:space="0" w:color="000001"/>
              <w:bottom w:val="single" w:sz="8" w:space="0" w:color="000001"/>
              <w:insideH w:val="single" w:sz="8" w:space="0" w:color="000001"/>
            </w:tcBorders>
            <w:shd w:color="auto" w:fill="D9D9D9" w:val="clear"/>
          </w:tcPr>
          <w:p>
            <w:pPr>
              <w:pStyle w:val="Normal"/>
              <w:jc w:val="center"/>
              <w:rPr/>
            </w:pPr>
            <w:r>
              <w:rPr>
                <w:b/>
                <w:bCs/>
              </w:rPr>
              <w:t>MAE</w:t>
            </w:r>
          </w:p>
        </w:tc>
        <w:tc>
          <w:tcPr>
            <w:tcW w:w="1550" w:type="dxa"/>
            <w:tcBorders>
              <w:top w:val="single" w:sz="8" w:space="0" w:color="000001"/>
              <w:bottom w:val="single" w:sz="8" w:space="0" w:color="000001"/>
              <w:insideH w:val="single" w:sz="8" w:space="0" w:color="000001"/>
            </w:tcBorders>
            <w:shd w:color="auto" w:fill="D9D9D9" w:val="clear"/>
          </w:tcPr>
          <w:p>
            <w:pPr>
              <w:pStyle w:val="Normal"/>
              <w:jc w:val="center"/>
              <w:rPr/>
            </w:pPr>
            <w:r>
              <w:rPr>
                <w:b/>
                <w:bCs/>
              </w:rPr>
              <w:t>R²</w:t>
            </w:r>
          </w:p>
        </w:tc>
        <w:tc>
          <w:tcPr>
            <w:tcW w:w="1948" w:type="dxa"/>
            <w:tcBorders>
              <w:top w:val="single" w:sz="8" w:space="0" w:color="000001"/>
              <w:bottom w:val="single" w:sz="8" w:space="0" w:color="000001"/>
              <w:insideH w:val="single" w:sz="8" w:space="0" w:color="000001"/>
            </w:tcBorders>
            <w:shd w:color="auto" w:fill="D9D9D9" w:val="clear"/>
          </w:tcPr>
          <w:p>
            <w:pPr>
              <w:pStyle w:val="Normal"/>
              <w:jc w:val="center"/>
              <w:rPr/>
            </w:pPr>
            <w:r>
              <w:rPr>
                <w:b/>
                <w:bCs/>
              </w:rPr>
              <w:t>Time (ms)</w:t>
            </w:r>
          </w:p>
        </w:tc>
      </w:tr>
      <w:tr>
        <w:trPr/>
        <w:tc>
          <w:tcPr>
            <w:tcW w:w="1198" w:type="dxa"/>
            <w:vMerge w:val="restart"/>
            <w:tcBorders>
              <w:top w:val="single" w:sz="8" w:space="0" w:color="000001"/>
              <w:bottom w:val="single" w:sz="8" w:space="0" w:color="000001"/>
              <w:insideH w:val="single" w:sz="8" w:space="0" w:color="000001"/>
            </w:tcBorders>
            <w:shd w:color="auto" w:fill="auto" w:val="clear"/>
            <w:vAlign w:val="center"/>
          </w:tcPr>
          <w:p>
            <w:pPr>
              <w:pStyle w:val="Normal"/>
              <w:jc w:val="center"/>
              <w:rPr/>
            </w:pPr>
            <w:r>
              <w:rPr/>
              <w:t>Mn</w:t>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0.1051</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0.0887</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0.9907</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2.4</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0.1072</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0.0908</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0.9903</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68.2</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MLR-subagging*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0.0966*</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0.0805*</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0.9922*</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17.1</w:t>
            </w:r>
          </w:p>
        </w:tc>
      </w:tr>
      <w:tr>
        <w:trPr/>
        <w:tc>
          <w:tcPr>
            <w:tcW w:w="1198" w:type="dxa"/>
            <w:vMerge w:val="restart"/>
            <w:tcBorders>
              <w:top w:val="single" w:sz="8" w:space="0" w:color="000001"/>
              <w:bottom w:val="single" w:sz="8" w:space="0" w:color="000001"/>
              <w:insideH w:val="single" w:sz="8" w:space="0" w:color="000001"/>
            </w:tcBorders>
            <w:shd w:color="auto" w:fill="auto" w:val="clear"/>
            <w:vAlign w:val="center"/>
          </w:tcPr>
          <w:p>
            <w:pPr>
              <w:pStyle w:val="Normal"/>
              <w:jc w:val="center"/>
              <w:rPr/>
            </w:pPr>
            <w:r>
              <w:rPr/>
              <w:t>Mo</w:t>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MLR*</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0.2633*</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0.1952*</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0.9882*</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2.4</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0.3388</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0.2722</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0.9805</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67.5</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MLR-subagging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0.2879</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0.2201</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0.9859</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46.8</w:t>
            </w:r>
          </w:p>
        </w:tc>
      </w:tr>
      <w:tr>
        <w:trPr/>
        <w:tc>
          <w:tcPr>
            <w:tcW w:w="1198" w:type="dxa"/>
            <w:vMerge w:val="restart"/>
            <w:tcBorders>
              <w:top w:val="single" w:sz="8" w:space="0" w:color="000001"/>
              <w:bottom w:val="single" w:sz="8" w:space="0" w:color="000001"/>
              <w:insideH w:val="single" w:sz="8" w:space="0" w:color="000001"/>
            </w:tcBorders>
            <w:shd w:color="auto" w:fill="auto" w:val="clear"/>
            <w:vAlign w:val="center"/>
          </w:tcPr>
          <w:p>
            <w:pPr>
              <w:pStyle w:val="Normal"/>
              <w:jc w:val="center"/>
              <w:rPr/>
            </w:pPr>
            <w:r>
              <w:rPr/>
              <w:t>Cr</w:t>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MLR*</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1.0798*</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0.8654*</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0.9938*</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2.5</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1.2089</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0.9830</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0.9922</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44.5</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MLR-subagging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1.1294</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0.9010</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0.9932</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46.8</w:t>
            </w:r>
          </w:p>
        </w:tc>
      </w:tr>
      <w:tr>
        <w:trPr/>
        <w:tc>
          <w:tcPr>
            <w:tcW w:w="1198" w:type="dxa"/>
            <w:vMerge w:val="restart"/>
            <w:tcBorders>
              <w:top w:val="single" w:sz="8" w:space="0" w:color="000001"/>
              <w:bottom w:val="single" w:sz="8" w:space="0" w:color="000001"/>
              <w:insideH w:val="single" w:sz="8" w:space="0" w:color="000001"/>
            </w:tcBorders>
            <w:shd w:color="auto" w:fill="auto" w:val="clear"/>
            <w:vAlign w:val="center"/>
          </w:tcPr>
          <w:p>
            <w:pPr>
              <w:pStyle w:val="Normal"/>
              <w:jc w:val="center"/>
              <w:rPr/>
            </w:pPr>
            <w:r>
              <w:rPr/>
              <w:t>Ni</w:t>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1.6043</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1.3256</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0.9837</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2.3</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MLR-subagging*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1.6003*</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1.2409*</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0.9838*</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10.6</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1.7085</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1.4122</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0.9815</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66.6</w:t>
            </w:r>
          </w:p>
        </w:tc>
      </w:tr>
      <w:tr>
        <w:trPr/>
        <w:tc>
          <w:tcPr>
            <w:tcW w:w="1198" w:type="dxa"/>
            <w:vMerge w:val="restart"/>
            <w:tcBorders>
              <w:top w:val="single" w:sz="8" w:space="0" w:color="000001"/>
              <w:bottom w:val="single" w:sz="8" w:space="0" w:color="000001"/>
              <w:insideH w:val="single" w:sz="8" w:space="0" w:color="000001"/>
            </w:tcBorders>
            <w:shd w:color="auto" w:fill="auto" w:val="clear"/>
            <w:vAlign w:val="center"/>
          </w:tcPr>
          <w:p>
            <w:pPr>
              <w:pStyle w:val="Normal"/>
              <w:jc w:val="center"/>
              <w:rPr/>
            </w:pPr>
            <w:r>
              <w:rPr/>
              <w:t>Fe</w:t>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2.7513</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2.1865</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0.9892</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13.5</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MLR-bagging*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2.6406*</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2.0246*</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b/>
                <w:bCs/>
              </w:rPr>
              <w:t>0.9900*</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97.2</w:t>
            </w:r>
          </w:p>
        </w:tc>
      </w:tr>
      <w:tr>
        <w:trPr/>
        <w:tc>
          <w:tcPr>
            <w:tcW w:w="1198" w:type="dxa"/>
            <w:vMerge w:val="continue"/>
            <w:tcBorders>
              <w:top w:val="single" w:sz="8" w:space="0" w:color="000001"/>
              <w:bottom w:val="single" w:sz="8" w:space="0" w:color="000001"/>
              <w:insideH w:val="single" w:sz="8" w:space="0" w:color="000001"/>
            </w:tcBorders>
            <w:shd w:color="auto" w:fill="auto" w:val="clear"/>
            <w:tcMar>
              <w:top w:w="0" w:type="dxa"/>
              <w:left w:w="113" w:type="dxa"/>
              <w:bottom w:w="0" w:type="dxa"/>
              <w:right w:w="108" w:type="dxa"/>
            </w:tcMar>
          </w:tcPr>
          <w:p>
            <w:pPr>
              <w:pStyle w:val="Normal"/>
              <w:rPr/>
            </w:pPr>
            <w:r>
              <w:rPr/>
            </w:r>
          </w:p>
        </w:tc>
        <w:tc>
          <w:tcPr>
            <w:tcW w:w="1401" w:type="dxa"/>
            <w:tcBorders>
              <w:top w:val="single" w:sz="8" w:space="0" w:color="000001"/>
              <w:bottom w:val="single" w:sz="8" w:space="0" w:color="000001"/>
              <w:insideH w:val="single" w:sz="8" w:space="0" w:color="000001"/>
            </w:tcBorders>
            <w:shd w:color="auto" w:fill="auto" w:val="clear"/>
          </w:tcPr>
          <w:p>
            <w:pPr>
              <w:pStyle w:val="Normal"/>
              <w:jc w:val="center"/>
              <w:rPr/>
            </w:pPr>
            <w:r>
              <w:rPr/>
              <w:t>MLR-subagging</w:t>
            </w:r>
          </w:p>
        </w:tc>
        <w:tc>
          <w:tcPr>
            <w:tcW w:w="1552" w:type="dxa"/>
            <w:tcBorders>
              <w:top w:val="single" w:sz="8" w:space="0" w:color="000001"/>
              <w:bottom w:val="single" w:sz="8" w:space="0" w:color="000001"/>
              <w:insideH w:val="single" w:sz="8" w:space="0" w:color="000001"/>
            </w:tcBorders>
            <w:shd w:color="auto" w:fill="auto" w:val="clear"/>
          </w:tcPr>
          <w:p>
            <w:pPr>
              <w:pStyle w:val="Normal"/>
              <w:jc w:val="center"/>
              <w:rPr/>
            </w:pPr>
            <w:r>
              <w:rPr/>
              <w:t>2.6509</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2.0578</w:t>
            </w:r>
          </w:p>
        </w:tc>
        <w:tc>
          <w:tcPr>
            <w:tcW w:w="1550" w:type="dxa"/>
            <w:tcBorders>
              <w:top w:val="single" w:sz="8" w:space="0" w:color="000001"/>
              <w:bottom w:val="single" w:sz="8" w:space="0" w:color="000001"/>
              <w:insideH w:val="single" w:sz="8" w:space="0" w:color="000001"/>
            </w:tcBorders>
            <w:shd w:color="auto" w:fill="auto" w:val="clear"/>
          </w:tcPr>
          <w:p>
            <w:pPr>
              <w:pStyle w:val="Normal"/>
              <w:jc w:val="center"/>
              <w:rPr/>
            </w:pPr>
            <w:r>
              <w:rPr/>
              <w:t>0.9900</w:t>
            </w:r>
          </w:p>
        </w:tc>
        <w:tc>
          <w:tcPr>
            <w:tcW w:w="1948" w:type="dxa"/>
            <w:tcBorders>
              <w:top w:val="single" w:sz="8" w:space="0" w:color="000001"/>
              <w:bottom w:val="single" w:sz="8" w:space="0" w:color="000001"/>
              <w:insideH w:val="single" w:sz="8" w:space="0" w:color="000001"/>
            </w:tcBorders>
            <w:shd w:color="auto" w:fill="auto" w:val="clear"/>
          </w:tcPr>
          <w:p>
            <w:pPr>
              <w:pStyle w:val="Normal"/>
              <w:jc w:val="center"/>
              <w:rPr/>
            </w:pPr>
            <w:r>
              <w:rPr/>
              <w:t>41.2</w:t>
            </w:r>
          </w:p>
        </w:tc>
      </w:tr>
    </w:tbl>
    <w:p>
      <w:pPr>
        <w:pStyle w:val="Normal"/>
        <w:spacing w:before="60" w:after="120"/>
        <w:jc w:val="center"/>
        <w:rPr/>
      </w:pPr>
      <w:r>
        <w:rPr>
          <w:sz w:val="20"/>
          <w:szCs w:val="20"/>
        </w:rPr>
        <w:t>MLR-subagging: k* = 80% (Mn, Mo, Cr, Fe), 60% (Ni). MLR-bagging: m* = 30 (all). MLR-subagging m*: 10 (Mn, Ni), 30 (Mo, Cr, Fe).</w:t>
      </w:r>
    </w:p>
    <w:p>
      <w:pPr>
        <w:pStyle w:val="Normal"/>
        <w:spacing w:lineRule="auto" w:line="480"/>
        <w:ind w:firstLine="720"/>
        <w:jc w:val="both"/>
        <w:rPr/>
      </w:pPr>
      <w:r>
        <w:rPr/>
      </w:r>
    </w:p>
    <w:p>
      <w:pPr>
        <w:pStyle w:val="Normal"/>
        <w:spacing w:lineRule="auto" w:line="480"/>
        <w:ind w:firstLine="720"/>
        <w:jc w:val="both"/>
        <w:rPr/>
      </w:pPr>
      <w:r>
        <w:rPr/>
      </w:r>
    </w:p>
    <w:p>
      <w:pPr>
        <w:pStyle w:val="Normal"/>
        <w:spacing w:lineRule="auto" w:line="480"/>
        <w:ind w:firstLine="720"/>
        <w:jc w:val="both"/>
        <w:rPr/>
      </w:pPr>
      <w:r>
        <w:rPr/>
      </w:r>
    </w:p>
    <w:p>
      <w:pPr>
        <w:pStyle w:val="Normal"/>
        <w:spacing w:before="120" w:after="40"/>
        <w:rPr/>
      </w:pPr>
      <w:r>
        <w:rPr>
          <w:b/>
          <w:bCs/>
        </w:rPr>
        <w:t>Sensitivity to bootstrap replications</w:t>
      </w:r>
    </w:p>
    <w:p>
      <w:pPr>
        <w:pStyle w:val="Normal"/>
        <w:spacing w:lineRule="auto" w:line="480"/>
        <w:ind w:firstLine="720"/>
        <w:jc w:val="both"/>
        <w:rPr/>
      </w:pPr>
      <w:r>
        <w:rPr/>
        <w:t>For Mn, RMSEP stabilized after approximately 15–20 bagging replicates. For Fe, oscillations persisted even at 50 replicates, suggesting greater spectral complexity and/or sensitivity to calibration sample composition. MLR-subagging with k* = 80% proved optimal for four of five elements, indicating that larger subsamples favor model stability in this high-dimensionality, small-sample regime.</w:t>
      </w:r>
    </w:p>
    <w:p>
      <w:pPr>
        <w:pStyle w:val="Normal"/>
        <w:spacing w:before="120" w:after="40"/>
        <w:rPr/>
      </w:pPr>
      <w:r>
        <w:rPr>
          <w:b/>
          <w:bCs/>
        </w:rPr>
        <w:t>Computational efficiency</w:t>
      </w:r>
    </w:p>
    <w:p>
      <w:pPr>
        <w:pStyle w:val="Normal"/>
        <w:spacing w:lineRule="auto" w:line="480"/>
        <w:ind w:firstLine="720"/>
        <w:jc w:val="both"/>
        <w:rPr/>
      </w:pPr>
      <w:r>
        <w:rPr/>
      </w:r>
    </w:p>
    <w:p>
      <w:pPr>
        <w:pStyle w:val="Normal"/>
        <w:spacing w:before="200" w:after="60"/>
        <w:rPr/>
      </w:pPr>
      <w:r>
        <w:rPr>
          <w:b/>
          <w:bCs/>
          <w:caps/>
        </w:rPr>
        <w:t>Conclusions</w:t>
      </w:r>
    </w:p>
    <w:p>
      <w:pPr>
        <w:pStyle w:val="Normal"/>
        <w:spacing w:lineRule="auto" w:line="480"/>
        <w:ind w:firstLine="720"/>
        <w:jc w:val="both"/>
        <w:rPr/>
      </w:pPr>
      <w:r>
        <w:rPr/>
        <w:t>This study demonstrates that no single resampling technique universally outperforms the others across all steel alloy analytes. MLR-subagging is recommended for Mn and Ni, offering improved accuracy and computational efficiency relative to MLR-bagging. MLR-bagging is preferred for Fe, where spectral complexity makes multi-model aggregation advantageous. For Mo and Cr, classical MLR remains the most appropriate choice due to its simplicity and low computational cost.</w:t>
      </w:r>
    </w:p>
    <w:p>
      <w:pPr>
        <w:pStyle w:val="Normal"/>
        <w:spacing w:lineRule="auto" w:line="480"/>
        <w:ind w:firstLine="720"/>
        <w:jc w:val="both"/>
        <w:rPr/>
      </w:pPr>
      <w:r>
        <w:rPr/>
        <w:t>MLR-subagging emerges as the most balanced alternative between predictive precision and efficiency (3.0× faster than bagging on average), constituting a viable strategy for chemometric applications subject to time constraints. Future work should extend this analysis to larger and more diverse datasets, and evaluate alternative base models (PLS, LASSO, neural networks) and advanced ensemble strategies (boosting, stacking).</w:t>
      </w:r>
    </w:p>
    <w:p>
      <w:pPr>
        <w:pStyle w:val="Normal"/>
        <w:spacing w:before="200" w:after="60"/>
        <w:rPr/>
      </w:pPr>
      <w:r>
        <w:rPr>
          <w:b/>
          <w:bCs/>
          <w:caps/>
        </w:rPr>
        <w:t>Acknowledgments</w:t>
      </w:r>
    </w:p>
    <w:p>
      <w:pPr>
        <w:pStyle w:val="Normal"/>
        <w:spacing w:lineRule="auto" w:line="480"/>
        <w:jc w:val="both"/>
        <w:rPr/>
      </w:pPr>
      <w:r>
        <w:rPr/>
        <w:t>The authors thank the Instituto Federal de Goias (IFG), Campus Anapolis, for institutional support. No external funding was received for this research.</w:t>
      </w:r>
    </w:p>
    <w:p>
      <w:pPr>
        <w:pStyle w:val="Normal"/>
        <w:spacing w:before="200" w:after="60"/>
        <w:rPr/>
      </w:pPr>
      <w:r>
        <w:rPr>
          <w:b/>
          <w:bCs/>
          <w:caps/>
        </w:rPr>
        <w:t>References</w:t>
      </w:r>
    </w:p>
    <w:p>
      <w:pPr>
        <w:pStyle w:val="Normal"/>
        <w:spacing w:before="0" w:after="60"/>
        <w:ind w:left="360" w:hanging="360"/>
        <w:jc w:val="both"/>
        <w:rPr/>
      </w:pPr>
      <w:r>
        <w:rPr/>
        <w:t>1. Skoog, D. A.; Holler, F. J.; Nieman, T. A.; Principles of Instrumental Analysis, 5th ed.; Brooks Cole: USA, 1997.</w:t>
      </w:r>
    </w:p>
    <w:p>
      <w:pPr>
        <w:pStyle w:val="Normal"/>
        <w:spacing w:before="0" w:after="60"/>
        <w:ind w:left="360" w:hanging="360"/>
        <w:jc w:val="both"/>
        <w:rPr/>
      </w:pPr>
      <w:r>
        <w:rPr/>
        <w:t>2. Hardle, W.; Simar, L.; Applied Multivariate Statistical Analysis, 2nd ed.; Springer-Verlag: Berlin, Germany, 2007.</w:t>
      </w:r>
    </w:p>
    <w:p>
      <w:pPr>
        <w:pStyle w:val="Normal"/>
        <w:spacing w:before="0" w:after="60"/>
        <w:ind w:left="360" w:hanging="360"/>
        <w:jc w:val="both"/>
        <w:rPr/>
      </w:pPr>
      <w:r>
        <w:rPr/>
        <w:t>3. Timm, N. H.; Applied Multivariate Analysis; Springer-Verlag: Berlin, Germany, 2002.</w:t>
      </w:r>
    </w:p>
    <w:p>
      <w:pPr>
        <w:pStyle w:val="Normal"/>
        <w:spacing w:before="0" w:after="60"/>
        <w:ind w:left="360" w:hanging="360"/>
        <w:jc w:val="both"/>
        <w:rPr/>
      </w:pPr>
      <w:r>
        <w:rPr/>
        <w:t>4. Canty, A. J.; Davison, A. C.; J. R. Stat. Soc. Ser. D Stat. 2001. DOI: https://doi.org/10.1111/1467-9884.00196.</w:t>
      </w:r>
    </w:p>
    <w:p>
      <w:pPr>
        <w:pStyle w:val="Normal"/>
        <w:spacing w:before="0" w:after="60"/>
        <w:ind w:left="360" w:hanging="360"/>
        <w:jc w:val="both"/>
        <w:rPr/>
      </w:pPr>
      <w:r>
        <w:rPr/>
        <w:t>5. Rathnayake, S.; Olive, D.; DiVA Portal 2022, n. 1669623.</w:t>
      </w:r>
    </w:p>
    <w:p>
      <w:pPr>
        <w:pStyle w:val="Normal"/>
        <w:spacing w:before="0" w:after="60"/>
        <w:ind w:left="360" w:hanging="360"/>
        <w:jc w:val="both"/>
        <w:rPr/>
      </w:pPr>
      <w:r>
        <w:rPr/>
        <w:t>6. Draper, N. R.; Smith, H.; Applied Regression Analysis, 3rd ed.; John Wiley &amp; Sons: USA, 1998.</w:t>
      </w:r>
    </w:p>
    <w:p>
      <w:pPr>
        <w:pStyle w:val="Normal"/>
        <w:spacing w:before="0" w:after="60"/>
        <w:ind w:left="360" w:hanging="360"/>
        <w:jc w:val="both"/>
        <w:rPr/>
      </w:pPr>
      <w:r>
        <w:rPr/>
        <w:t>7. Alin, A.; Serneels, S.; J. Chemom. 2017, 31, e2881.</w:t>
      </w:r>
    </w:p>
    <w:p>
      <w:pPr>
        <w:pStyle w:val="Normal"/>
        <w:spacing w:before="0" w:after="60"/>
        <w:ind w:left="360" w:hanging="360"/>
        <w:jc w:val="both"/>
        <w:rPr/>
      </w:pPr>
      <w:r>
        <w:rPr/>
        <w:t>8. Filzmoser, P.; Nordhausen, K.; Chemom. Intell. Lab. Syst. 2013, 130, 98.</w:t>
      </w:r>
    </w:p>
    <w:p>
      <w:pPr>
        <w:pStyle w:val="Normal"/>
        <w:spacing w:before="0" w:after="60"/>
        <w:ind w:left="360" w:hanging="360"/>
        <w:jc w:val="both"/>
        <w:rPr/>
      </w:pPr>
      <w:r>
        <w:rPr/>
        <w:t>9. Johnson, R. A.; Wichern, D. W.; Applied Multivariate Statistical Analysis, 5th ed.; Prentice Hall: USA, 2001.</w:t>
      </w:r>
    </w:p>
    <w:p>
      <w:pPr>
        <w:pStyle w:val="Normal"/>
        <w:spacing w:before="0" w:after="60"/>
        <w:ind w:left="360" w:hanging="360"/>
        <w:jc w:val="both"/>
        <w:rPr/>
      </w:pPr>
      <w:r>
        <w:rPr/>
        <w:t>10. Chatterjee, S.; Hadi, A. S.; Regression Analysis by Example, 4th ed.; John Wiley &amp; Sons: USA, 2006.</w:t>
      </w:r>
    </w:p>
    <w:p>
      <w:pPr>
        <w:pStyle w:val="Normal"/>
        <w:spacing w:before="0" w:after="60"/>
        <w:ind w:left="360" w:hanging="360"/>
        <w:jc w:val="both"/>
        <w:rPr/>
      </w:pPr>
      <w:r>
        <w:rPr/>
        <w:t>11. Yeon, H.; Dai, X.; Nordman, D. J.; Bernoulli 2023, 29, 2599.</w:t>
      </w:r>
    </w:p>
    <w:p>
      <w:pPr>
        <w:pStyle w:val="Normal"/>
        <w:spacing w:before="0" w:after="60"/>
        <w:ind w:left="360" w:hanging="360"/>
        <w:jc w:val="both"/>
        <w:rPr/>
      </w:pPr>
      <w:r>
        <w:rPr/>
        <w:t>12. Alfons, A.; Ates, N. Y.; Groenen, P. J. F.; Organ. Res. Methods 2022, 25, 591.</w:t>
      </w:r>
    </w:p>
    <w:p>
      <w:pPr>
        <w:pStyle w:val="Normal"/>
        <w:spacing w:before="0" w:after="60"/>
        <w:ind w:left="360" w:hanging="360"/>
        <w:jc w:val="both"/>
        <w:rPr/>
      </w:pPr>
      <w:r>
        <w:rPr/>
        <w:t>13. Wan, Y. et al.; Proc. Mach. Learn. Res. 2023, 202, 1.</w:t>
      </w:r>
    </w:p>
    <w:p>
      <w:pPr>
        <w:pStyle w:val="Normal"/>
        <w:spacing w:before="0" w:after="60"/>
        <w:ind w:left="360" w:hanging="360"/>
        <w:jc w:val="both"/>
        <w:rPr/>
      </w:pPr>
      <w:r>
        <w:rPr/>
        <w:t>14. Du, J.-H. et al.; J. Comput. Graph. Stat. 2024, 33, 1061.</w:t>
      </w:r>
    </w:p>
    <w:p>
      <w:pPr>
        <w:pStyle w:val="Normal"/>
        <w:spacing w:before="0" w:after="60"/>
        <w:ind w:left="360" w:hanging="360"/>
        <w:jc w:val="both"/>
        <w:rPr/>
      </w:pPr>
      <w:r>
        <w:rPr/>
        <w:t>15. Jensen, V.; Bianchi, F. M.; Anfinsen, S. N.; IEEE Trans. Neural Netw. Learn. Syst. 2024, 35, 9014.</w:t>
      </w:r>
    </w:p>
    <w:p>
      <w:pPr>
        <w:pStyle w:val="Normal"/>
        <w:spacing w:before="0" w:after="60"/>
        <w:ind w:left="360" w:hanging="360"/>
        <w:jc w:val="both"/>
        <w:rPr/>
      </w:pPr>
      <w:r>
        <w:rPr/>
        <w:t>16. Efron, B.; The Jackknife, the Bootstrap and Other Resampling Plans; Society for Industrial and Applied Mathematics: USA, 1994.</w:t>
      </w:r>
    </w:p>
    <w:p>
      <w:pPr>
        <w:pStyle w:val="Normal"/>
        <w:spacing w:before="0" w:after="60"/>
        <w:ind w:left="360" w:hanging="360"/>
        <w:jc w:val="both"/>
        <w:rPr/>
      </w:pPr>
      <w:r>
        <w:rPr/>
        <w:t>17. Efron, B.; Tibshirani, R. J.; An Introduction to the Bootstrap; Chapman &amp; Hall/CRC: USA, 1993.</w:t>
      </w:r>
    </w:p>
    <w:p>
      <w:pPr>
        <w:pStyle w:val="Normal"/>
        <w:spacing w:before="0" w:after="60"/>
        <w:ind w:left="360" w:hanging="360"/>
        <w:jc w:val="both"/>
        <w:rPr/>
      </w:pPr>
      <w:r>
        <w:rPr/>
        <w:t>18. Efron, B.; Tibshirani, R. J.; J. Am. Stat. Assoc. 1997, 92, 548.</w:t>
      </w:r>
    </w:p>
    <w:p>
      <w:pPr>
        <w:pStyle w:val="Normal"/>
        <w:spacing w:before="0" w:after="60"/>
        <w:ind w:left="360" w:hanging="360"/>
        <w:jc w:val="both"/>
        <w:rPr/>
      </w:pPr>
      <w:r>
        <w:rPr/>
        <w:t>19. Fernandez, J. M. V.; Manteiga, W. G.; Comput. Stat. Data Anal. 1999, 35, 211.</w:t>
      </w:r>
    </w:p>
    <w:p>
      <w:pPr>
        <w:pStyle w:val="Normal"/>
        <w:spacing w:before="0" w:after="60"/>
        <w:ind w:left="360" w:hanging="360"/>
        <w:jc w:val="both"/>
        <w:rPr/>
      </w:pPr>
      <w:r>
        <w:rPr/>
        <w:t>20. Opitz, D.; Maclin, R.; J. Artif. Intell. Res. 1999, 11, 169.</w:t>
      </w:r>
    </w:p>
    <w:p>
      <w:pPr>
        <w:pStyle w:val="Normal"/>
        <w:spacing w:before="0" w:after="60"/>
        <w:ind w:left="360" w:hanging="360"/>
        <w:jc w:val="both"/>
        <w:rPr/>
      </w:pPr>
      <w:r>
        <w:rPr/>
        <w:t>21. Galvao, R. K. H.; Araujo, M. C. U.; Jose, G. E.; Pontes, M. J. C.; Silva, E. C.; Saldanha, T. C. B.; Chemom. Intell. Lab. Syst. 2006, 81, 60.</w:t>
      </w:r>
    </w:p>
    <w:p>
      <w:pPr>
        <w:pStyle w:val="Normal"/>
        <w:spacing w:before="0" w:after="60"/>
        <w:ind w:left="360" w:hanging="360"/>
        <w:jc w:val="both"/>
        <w:rPr/>
      </w:pPr>
      <w:r>
        <w:rPr/>
        <w:t>22. Liu, Y. et al.; J. Chemom. 2025, 39, e70036.</w:t>
      </w:r>
    </w:p>
    <w:p>
      <w:pPr>
        <w:pStyle w:val="Normal"/>
        <w:spacing w:before="0" w:after="60"/>
        <w:ind w:left="360" w:hanging="360"/>
        <w:jc w:val="both"/>
        <w:rPr/>
      </w:pPr>
      <w:r>
        <w:rPr/>
        <w:t>23. Mishra, P.; Liland, K. H.; J. Chemom. 2023, e3527.</w:t>
      </w:r>
    </w:p>
    <w:p>
      <w:pPr>
        <w:pStyle w:val="Normal"/>
        <w:spacing w:before="0" w:after="60"/>
        <w:ind w:left="360" w:hanging="360"/>
        <w:jc w:val="both"/>
        <w:rPr/>
      </w:pPr>
      <w:r>
        <w:rPr/>
        <w:t>24. Styawan et al.; Food Res. 2024. DOI: https://doi.org/10.26656/fr.2017.8(3).165.</w:t>
      </w:r>
    </w:p>
    <w:p>
      <w:pPr>
        <w:pStyle w:val="Normal"/>
        <w:spacing w:before="0" w:after="60"/>
        <w:ind w:left="360" w:hanging="360"/>
        <w:jc w:val="both"/>
        <w:rPr/>
      </w:pPr>
      <w:r>
        <w:rPr/>
        <w:t>25. Breiman, L.; Mach. Learn. 1996, 24, 123.</w:t>
      </w:r>
    </w:p>
    <w:p>
      <w:pPr>
        <w:pStyle w:val="Normal"/>
        <w:spacing w:before="0" w:after="60"/>
        <w:ind w:left="360" w:hanging="360"/>
        <w:jc w:val="both"/>
        <w:rPr/>
      </w:pPr>
      <w:r>
        <w:rPr/>
        <w:t>26. Shabbir, M.; Chand, S.; Iqbal, F.; Commun. Stat. Simul. Comput. 2024, 53, 3653.</w:t>
      </w:r>
    </w:p>
    <w:p>
      <w:pPr>
        <w:pStyle w:val="Normal"/>
        <w:spacing w:before="0" w:after="60"/>
        <w:ind w:left="360" w:hanging="360"/>
        <w:jc w:val="both"/>
        <w:rPr/>
      </w:pPr>
      <w:r>
        <w:rPr/>
        <w:t>27. Hong, H.; Liu, J.; Zhu, A.-X.; Sci. Total Environ. 2020, 718, 137231.</w:t>
      </w:r>
    </w:p>
    <w:p>
      <w:pPr>
        <w:pStyle w:val="Normal"/>
        <w:spacing w:before="0" w:after="60"/>
        <w:ind w:left="360" w:hanging="360"/>
        <w:jc w:val="both"/>
        <w:rPr/>
      </w:pPr>
      <w:r>
        <w:rPr/>
        <w:t>28. Zhao, N. et al.; Front. Chem. 2018, 6, 262.</w:t>
      </w:r>
    </w:p>
    <w:p>
      <w:pPr>
        <w:pStyle w:val="Normal"/>
        <w:spacing w:before="0" w:after="60"/>
        <w:ind w:left="360" w:hanging="360"/>
        <w:jc w:val="both"/>
        <w:rPr/>
      </w:pPr>
      <w:r>
        <w:rPr/>
        <w:t>29. Kumari, M. V. et al.; Int. J. Pharm. Pharm. Sci. 2024, 9.</w:t>
      </w:r>
    </w:p>
    <w:p>
      <w:pPr>
        <w:pStyle w:val="Normal"/>
        <w:spacing w:before="0" w:after="60"/>
        <w:ind w:left="360" w:hanging="360"/>
        <w:jc w:val="both"/>
        <w:rPr/>
      </w:pPr>
      <w:r>
        <w:rPr/>
        <w:t>30. Martins, M. N.; Transferencia de calibracao de instrumentos para analise espectrometrica empregando selecao de variaveis, reamostragem e combinacao de modelos; Dissertacao de Mestrado, ITA: Sao Jose dos Campos, 2006.</w:t>
      </w:r>
    </w:p>
    <w:p>
      <w:pPr>
        <w:pStyle w:val="Normal"/>
        <w:spacing w:before="0" w:after="60"/>
        <w:ind w:left="360" w:hanging="360"/>
        <w:jc w:val="both"/>
        <w:rPr/>
      </w:pPr>
      <w:r>
        <w:rPr/>
        <w:t>31. Bauer, E.; Kohavi, R.; Mach. Learn. 1999, 36, 105.</w:t>
      </w:r>
    </w:p>
    <w:p>
      <w:pPr>
        <w:pStyle w:val="Normal"/>
        <w:spacing w:before="0" w:after="60"/>
        <w:ind w:left="360" w:hanging="360"/>
        <w:jc w:val="both"/>
        <w:rPr/>
      </w:pPr>
      <w:r>
        <w:rPr/>
        <w:t>32. Breiman, L.; Mach. Learn. 2001, 45, 261.</w:t>
      </w:r>
    </w:p>
    <w:p>
      <w:pPr>
        <w:pStyle w:val="Normal"/>
        <w:spacing w:before="0" w:after="60"/>
        <w:ind w:left="360" w:hanging="360"/>
        <w:jc w:val="both"/>
        <w:rPr/>
      </w:pPr>
      <w:r>
        <w:rPr/>
        <w:t>33. Buhlmann, P.; Bagging, Subagging and Bragging for Improving some Prediction Algorithms; Technical Report, ETH Zurich, 2003.</w:t>
      </w:r>
    </w:p>
    <w:p>
      <w:pPr>
        <w:pStyle w:val="Normal"/>
        <w:spacing w:before="0" w:after="60"/>
        <w:ind w:left="360" w:hanging="360"/>
        <w:jc w:val="both"/>
        <w:rPr/>
      </w:pPr>
      <w:r>
        <w:rPr/>
        <w:t>34. Revelas, C.; Boldea, O.; Werker, B. J. M.; arXiv 2024, 2404.01832.</w:t>
      </w:r>
    </w:p>
    <w:p>
      <w:pPr>
        <w:pStyle w:val="Normal"/>
        <w:spacing w:before="0" w:after="60"/>
        <w:ind w:left="360" w:hanging="360"/>
        <w:jc w:val="both"/>
        <w:rPr/>
      </w:pPr>
      <w:r>
        <w:rPr/>
        <w:t>35. Qin, T.; Huang, W.-M.; arXiv 2023, 2311.02827.</w:t>
      </w:r>
    </w:p>
    <w:p>
      <w:pPr>
        <w:pStyle w:val="Normal"/>
        <w:spacing w:before="0" w:after="60"/>
        <w:ind w:left="360" w:hanging="360"/>
        <w:jc w:val="both"/>
        <w:rPr/>
      </w:pPr>
      <w:r>
        <w:rPr/>
        <w:t>36. Zhao, Y.; Amemiya, Y.; Hung, Y.; Stat. Sin. 2018, 28, 1459.</w:t>
      </w:r>
    </w:p>
    <w:p>
      <w:pPr>
        <w:pStyle w:val="Normal"/>
        <w:spacing w:before="0" w:after="60"/>
        <w:ind w:left="360" w:hanging="360"/>
        <w:jc w:val="both"/>
        <w:rPr/>
      </w:pPr>
      <w:r>
        <w:rPr/>
        <w:t>37. Shi, C.; Lu, W.; Song, R.; J. Mach. Learn. Res. 2021, 22, 1.</w:t>
      </w:r>
    </w:p>
    <w:p>
      <w:pPr>
        <w:pStyle w:val="Normal"/>
        <w:spacing w:before="0" w:after="60"/>
        <w:ind w:left="360" w:hanging="360"/>
        <w:jc w:val="both"/>
        <w:rPr/>
      </w:pPr>
      <w:r>
        <w:rPr/>
        <w:t>38. Zhang, C. et al.; Chemom. Intell. Lab. Syst. 2017, 161, 43.</w:t>
      </w:r>
    </w:p>
    <w:p>
      <w:pPr>
        <w:pStyle w:val="Normal"/>
        <w:spacing w:before="0" w:after="60"/>
        <w:ind w:left="360" w:hanging="360"/>
        <w:jc w:val="both"/>
        <w:rPr/>
      </w:pPr>
      <w:r>
        <w:rPr/>
        <w:t>39. Tao, X. et al.; IEEE Trans. Dependable Secur. Comput. 2021, 19, 2456.</w:t>
      </w:r>
    </w:p>
    <w:p>
      <w:pPr>
        <w:pStyle w:val="Normal"/>
        <w:spacing w:before="0" w:after="60"/>
        <w:ind w:left="360" w:hanging="360"/>
        <w:jc w:val="both"/>
        <w:rPr/>
      </w:pPr>
      <w:r>
        <w:rPr/>
        <w:t>40. Paleologo, G.; Elisseeff, A.; Antonini, G.; Eur. J. Oper. Res. 2020, 201, 490.</w:t>
      </w:r>
    </w:p>
    <w:p>
      <w:pPr>
        <w:pStyle w:val="Normal"/>
        <w:spacing w:before="0" w:after="60"/>
        <w:ind w:left="360" w:hanging="360"/>
        <w:jc w:val="both"/>
        <w:rPr/>
      </w:pPr>
      <w:r>
        <w:rPr/>
        <w:t>41. Wei, Y.; Wellesley College Thesis, 2021.</w:t>
      </w:r>
    </w:p>
    <w:p>
      <w:pPr>
        <w:pStyle w:val="Normal"/>
        <w:spacing w:before="0" w:after="60"/>
        <w:ind w:left="360" w:hanging="360"/>
        <w:jc w:val="both"/>
        <w:rPr/>
      </w:pPr>
      <w:r>
        <w:rPr/>
        <w:t>42. Ing, C.-K.; Lai, T. L.; Electron. J. Stat. 2016, 10, 121.</w:t>
      </w:r>
    </w:p>
    <w:p>
      <w:pPr>
        <w:pStyle w:val="Normal"/>
        <w:spacing w:before="0" w:after="60"/>
        <w:ind w:left="360" w:hanging="360"/>
        <w:jc w:val="both"/>
        <w:rPr/>
      </w:pPr>
      <w:r>
        <w:rPr/>
        <w:t>43. Pimentel, M. F.; Galvao, R. K. H.; Araujo, M. C. U.; Pontes, M. J. C.; J. Autom. Chem. 1998, 20, 69.</w:t>
      </w:r>
    </w:p>
    <w:p>
      <w:pPr>
        <w:pStyle w:val="Normal"/>
        <w:spacing w:before="0" w:after="60"/>
        <w:ind w:left="360" w:hanging="360"/>
        <w:jc w:val="both"/>
        <w:rPr/>
      </w:pPr>
      <w:r>
        <w:rPr/>
        <w:t>44. Kramer, R.; Chemometric Techniques for Quantitative Analysis; CRC Press: USA, 1998.</w:t>
      </w:r>
    </w:p>
    <w:p>
      <w:pPr>
        <w:pStyle w:val="Normal"/>
        <w:spacing w:before="0" w:after="60"/>
        <w:ind w:left="360" w:hanging="360"/>
        <w:jc w:val="both"/>
        <w:rPr/>
      </w:pPr>
      <w:r>
        <w:rPr/>
        <w:t>45. Martens, H.; Naes, T.; Multivariate Calibration; John Wiley &amp; Sons: USA, 1989.</w:t>
      </w:r>
    </w:p>
    <w:p>
      <w:pPr>
        <w:pStyle w:val="Normal"/>
        <w:spacing w:before="0" w:after="60"/>
        <w:ind w:left="360" w:hanging="360"/>
        <w:jc w:val="both"/>
        <w:rPr/>
      </w:pPr>
      <w:r>
        <w:rPr/>
        <w:t>46. Westad, F.; Flaten, G. R.; Front. Anal. Sci. 2024, 4, 1393222.</w:t>
      </w:r>
    </w:p>
    <w:p>
      <w:pPr>
        <w:pStyle w:val="Normal"/>
        <w:spacing w:before="0" w:after="60"/>
        <w:ind w:left="360" w:hanging="360"/>
        <w:jc w:val="both"/>
        <w:rPr/>
      </w:pPr>
      <w:r>
        <w:rPr/>
        <w:t>47. Peris-Diaz, M. D.; Krezel, A.; TrAC Trends Anal. Chem. 2021, 135, 116157.</w:t>
      </w:r>
    </w:p>
    <w:p>
      <w:pPr>
        <w:pStyle w:val="Normal"/>
        <w:spacing w:before="0" w:after="60"/>
        <w:ind w:left="360" w:hanging="360"/>
        <w:jc w:val="both"/>
        <w:rPr/>
      </w:pPr>
      <w:r>
        <w:rPr/>
        <w:t>48. Hodson, T. O.; Geosci. Model Dev. 2022, 15, 5481.</w:t>
      </w:r>
    </w:p>
    <w:p>
      <w:pPr>
        <w:pStyle w:val="Normal"/>
        <w:spacing w:before="0" w:after="60"/>
        <w:ind w:left="360" w:hanging="360"/>
        <w:jc w:val="both"/>
        <w:rPr/>
      </w:pPr>
      <w:r>
        <w:rPr/>
        <w:t>49. Ezenarro, J.; Schorn-Garcia, D.; J. Chemom. 2025, 39, e70036.</w:t>
      </w:r>
    </w:p>
    <w:p>
      <w:pPr>
        <w:pStyle w:val="Normal"/>
        <w:spacing w:before="0" w:after="60"/>
        <w:ind w:left="360" w:hanging="360"/>
        <w:jc w:val="both"/>
        <w:rPr/>
      </w:pPr>
      <w:r>
        <w:rPr/>
      </w:r>
    </w:p>
    <w:p>
      <w:pPr>
        <w:pStyle w:val="Normal"/>
        <w:spacing w:before="0" w:after="60"/>
        <w:ind w:left="360" w:hanging="360"/>
        <w:jc w:val="both"/>
        <w:rPr/>
      </w:pPr>
      <w:r>
        <w:rPr/>
      </w:r>
    </w:p>
    <w:sectPr>
      <w:headerReference w:type="default" r:id="rId2"/>
      <w:footerReference w:type="default" r:id="rId3"/>
      <w:type w:val="nextPage"/>
      <w:pgSz w:w="11906" w:h="16838"/>
      <w:pgMar w:left="1800" w:right="1800" w:header="708" w:top="1440" w:footer="708"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i/>
        <w:iCs/>
        <w:sz w:val="20"/>
        <w:szCs w:val="20"/>
      </w:rPr>
      <w:t>J. Braz. Chem. Soc.</w:t>
    </w:r>
    <w:r>
      <w:rPr>
        <w:sz w:val="20"/>
        <w:szCs w:val="20"/>
      </w:rPr>
      <w:t xml:space="preserve">  |  </w:t>
    </w:r>
    <w:r>
      <w:rPr>
        <w:sz w:val="20"/>
        <w:szCs w:val="20"/>
      </w:rPr>
      <w:fldChar w:fldCharType="begin"/>
    </w:r>
    <w:r>
      <w:instrText> PAGE </w:instrText>
    </w:r>
    <w:r>
      <w:fldChar w:fldCharType="separate"/>
    </w:r>
    <w:r>
      <w:t>6</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i/>
        <w:iCs/>
        <w:sz w:val="20"/>
        <w:szCs w:val="20"/>
      </w:rPr>
      <w:t>Araujo, W. O. de; Silva, C. N.</w:t>
    </w:r>
  </w:p>
</w:hdr>
</file>

<file path=word/settings.xml><?xml version="1.0" encoding="utf-8"?>
<w:settings xmlns:w="http://schemas.openxmlformats.org/wordprocessingml/2006/main">
  <w:zoom w:percent="10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jc w:val="left"/>
    </w:pPr>
    <w:rPr>
      <w:rFonts w:ascii="Times New Roman" w:hAnsi="Times New Roman" w:eastAsia="Times New Roman" w:cs="Times New Roman"/>
      <w:color w:val="auto"/>
      <w:sz w:val="24"/>
      <w:szCs w:val="24"/>
      <w:lang w:val="pt-BR" w:eastAsia="zh-CN" w:bidi="hi-IN"/>
    </w:rPr>
  </w:style>
  <w:style w:type="paragraph" w:styleId="Ttulo1">
    <w:name w:val="Heading 1"/>
    <w:basedOn w:val="Ttulododocumento"/>
    <w:qFormat/>
    <w:pPr>
      <w:outlineLvl w:val="0"/>
    </w:pPr>
    <w:rPr>
      <w:color w:val="2E74B5"/>
      <w:sz w:val="32"/>
      <w:szCs w:val="32"/>
    </w:rPr>
  </w:style>
  <w:style w:type="paragraph" w:styleId="Ttulo2">
    <w:name w:val="Heading 2"/>
    <w:basedOn w:val="Ttulododocumento"/>
    <w:qFormat/>
    <w:pPr>
      <w:outlineLvl w:val="1"/>
    </w:pPr>
    <w:rPr>
      <w:color w:val="2E74B5"/>
      <w:sz w:val="26"/>
      <w:szCs w:val="26"/>
    </w:rPr>
  </w:style>
  <w:style w:type="paragraph" w:styleId="Ttulo3">
    <w:name w:val="Heading 3"/>
    <w:basedOn w:val="Ttulododocumento"/>
    <w:qFormat/>
    <w:pPr>
      <w:outlineLvl w:val="2"/>
    </w:pPr>
    <w:rPr>
      <w:color w:val="1F4D78"/>
      <w:sz w:val="24"/>
      <w:szCs w:val="24"/>
    </w:rPr>
  </w:style>
  <w:style w:type="paragraph" w:styleId="Ttulo4">
    <w:name w:val="Heading 4"/>
    <w:basedOn w:val="Ttulododocumento"/>
    <w:qFormat/>
    <w:pPr>
      <w:outlineLvl w:val="3"/>
    </w:pPr>
    <w:rPr>
      <w:i/>
      <w:iCs/>
      <w:color w:val="2E74B5"/>
    </w:rPr>
  </w:style>
  <w:style w:type="paragraph" w:styleId="Ttulo5">
    <w:name w:val="Heading 5"/>
    <w:basedOn w:val="Ttulododocumento"/>
    <w:qFormat/>
    <w:pPr>
      <w:outlineLvl w:val="4"/>
    </w:pPr>
    <w:rPr>
      <w:color w:val="2E74B5"/>
    </w:rPr>
  </w:style>
  <w:style w:type="paragraph" w:styleId="Ttulo6">
    <w:name w:val="Heading 6"/>
    <w:basedOn w:val="Ttulododocumento"/>
    <w:qFormat/>
    <w:pPr>
      <w:outlineLvl w:val="5"/>
    </w:pPr>
    <w:rPr>
      <w:color w:val="1F4D78"/>
    </w:rPr>
  </w:style>
  <w:style w:type="character" w:styleId="DefaultParagraphFont" w:default="1">
    <w:name w:val="Default Paragraph Font"/>
    <w:uiPriority w:val="1"/>
    <w:semiHidden/>
    <w:unhideWhenUsed/>
    <w:qFormat/>
    <w:rPr/>
  </w:style>
  <w:style w:type="character" w:styleId="LinkdaInternet" w:customStyle="1">
    <w:name w:val="Link da Internet"/>
    <w:uiPriority w:val="99"/>
    <w:unhideWhenUsed/>
    <w:rPr>
      <w:color w:val="0563C1"/>
      <w:u w:val="single"/>
    </w:rPr>
  </w:style>
  <w:style w:type="character" w:styleId="Footnotereference">
    <w:name w:val="footnote reference"/>
    <w:uiPriority w:val="99"/>
    <w:semiHidden/>
    <w:unhideWhenUsed/>
    <w:qFormat/>
    <w:rPr>
      <w:vertAlign w:val="superscript"/>
    </w:rPr>
  </w:style>
  <w:style w:type="character" w:styleId="TextodenotaderodapChar" w:customStyle="1">
    <w:name w:val="Texto de nota de rodapé Char"/>
    <w:link w:val="Textodenotaderodap"/>
    <w:uiPriority w:val="99"/>
    <w:semiHidden/>
    <w:unhideWhenUsed/>
    <w:qFormat/>
    <w:rPr>
      <w:sz w:val="20"/>
      <w:szCs w:val="20"/>
    </w:rPr>
  </w:style>
  <w:style w:type="character" w:styleId="Endnotereference">
    <w:name w:val="endnote reference"/>
    <w:uiPriority w:val="99"/>
    <w:semiHidden/>
    <w:unhideWhenUsed/>
    <w:qFormat/>
    <w:rPr>
      <w:vertAlign w:val="superscript"/>
    </w:rPr>
  </w:style>
  <w:style w:type="character" w:styleId="TextodenotadefimChar" w:customStyle="1">
    <w:name w:val="Texto de nota de fim Char"/>
    <w:link w:val="Textodenotadefim"/>
    <w:uiPriority w:val="99"/>
    <w:semiHidden/>
    <w:unhideWhenUsed/>
    <w:qFormat/>
    <w:rPr>
      <w:sz w:val="20"/>
      <w:szCs w:val="20"/>
    </w:rPr>
  </w:style>
  <w:style w:type="paragraph" w:styleId="Ttulo">
    <w:name w:val="Título"/>
    <w:basedOn w:val="Normal"/>
    <w:next w:val="Corpodetexto"/>
    <w:qFormat/>
    <w:pPr>
      <w:keepNext/>
      <w:spacing w:before="240" w:after="120"/>
    </w:pPr>
    <w:rPr>
      <w:rFonts w:ascii="Liberation Sans" w:hAnsi="Liberation Sans" w:eastAsia="Microsoft YaHei" w:cs="Lucida Sans"/>
      <w:sz w:val="28"/>
      <w:szCs w:val="28"/>
    </w:rPr>
  </w:style>
  <w:style w:type="paragraph" w:styleId="Corpodetexto">
    <w:name w:val="Body Text"/>
    <w:basedOn w:val="Normal"/>
    <w:pPr>
      <w:spacing w:lineRule="auto" w:line="288" w:before="0" w:after="140"/>
    </w:pPr>
    <w:rPr/>
  </w:style>
  <w:style w:type="paragraph" w:styleId="Lista">
    <w:name w:val="List"/>
    <w:basedOn w:val="Corpode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dodocumento">
    <w:name w:val="Title"/>
    <w:basedOn w:val="Normal"/>
    <w:qFormat/>
    <w:pPr/>
    <w:rPr>
      <w:sz w:val="56"/>
      <w:szCs w:val="56"/>
    </w:rPr>
  </w:style>
  <w:style w:type="paragraph" w:styleId="Caption">
    <w:name w:val="caption"/>
    <w:basedOn w:val="Normal"/>
    <w:qFormat/>
    <w:pPr>
      <w:suppressLineNumbers/>
      <w:spacing w:before="120" w:after="120"/>
    </w:pPr>
    <w:rPr>
      <w:rFonts w:cs="Lucida Sans"/>
      <w:i/>
      <w:iCs/>
    </w:rPr>
  </w:style>
  <w:style w:type="paragraph" w:styleId="Forte1" w:customStyle="1">
    <w:name w:val="Forte1"/>
    <w:qFormat/>
    <w:pPr>
      <w:widowControl w:val="false"/>
      <w:bidi w:val="0"/>
      <w:jc w:val="left"/>
    </w:pPr>
    <w:rPr>
      <w:rFonts w:ascii="Times New Roman" w:hAnsi="Times New Roman" w:eastAsia="Times New Roman" w:cs="Times New Roman"/>
      <w:b/>
      <w:bCs/>
      <w:color w:val="auto"/>
      <w:sz w:val="24"/>
      <w:szCs w:val="24"/>
      <w:lang w:val="pt-BR" w:eastAsia="zh-CN" w:bidi="hi-IN"/>
    </w:rPr>
  </w:style>
  <w:style w:type="paragraph" w:styleId="ListParagraph">
    <w:name w:val="List Paragraph"/>
    <w:qFormat/>
    <w:pPr>
      <w:widowControl w:val="false"/>
      <w:bidi w:val="0"/>
      <w:jc w:val="left"/>
    </w:pPr>
    <w:rPr>
      <w:rFonts w:ascii="Times New Roman" w:hAnsi="Times New Roman" w:eastAsia="Times New Roman" w:cs="Times New Roman"/>
      <w:color w:val="auto"/>
      <w:sz w:val="24"/>
      <w:szCs w:val="24"/>
      <w:lang w:val="pt-BR" w:eastAsia="zh-CN" w:bidi="hi-IN"/>
    </w:rPr>
  </w:style>
  <w:style w:type="paragraph" w:styleId="Footnotetext">
    <w:name w:val="footnote text"/>
    <w:link w:val="TextodenotaderodapChar"/>
    <w:uiPriority w:val="99"/>
    <w:semiHidden/>
    <w:unhideWhenUsed/>
    <w:qFormat/>
    <w:pPr>
      <w:widowControl w:val="false"/>
      <w:bidi w:val="0"/>
      <w:jc w:val="left"/>
    </w:pPr>
    <w:rPr>
      <w:rFonts w:ascii="Times New Roman" w:hAnsi="Times New Roman" w:eastAsia="Times New Roman" w:cs="Times New Roman"/>
      <w:color w:val="auto"/>
      <w:sz w:val="20"/>
      <w:szCs w:val="20"/>
      <w:lang w:val="pt-BR" w:eastAsia="zh-CN" w:bidi="hi-IN"/>
    </w:rPr>
  </w:style>
  <w:style w:type="paragraph" w:styleId="Endnotetext">
    <w:name w:val="endnote text"/>
    <w:link w:val="TextodenotadefimChar"/>
    <w:uiPriority w:val="99"/>
    <w:semiHidden/>
    <w:unhideWhenUsed/>
    <w:qFormat/>
    <w:pPr>
      <w:widowControl w:val="false"/>
      <w:bidi w:val="0"/>
      <w:jc w:val="left"/>
    </w:pPr>
    <w:rPr>
      <w:rFonts w:ascii="Times New Roman" w:hAnsi="Times New Roman" w:eastAsia="Times New Roman" w:cs="Times New Roman"/>
      <w:color w:val="auto"/>
      <w:sz w:val="20"/>
      <w:szCs w:val="20"/>
      <w:lang w:val="pt-BR" w:eastAsia="zh-CN" w:bidi="hi-IN"/>
    </w:rPr>
  </w:style>
  <w:style w:type="paragraph" w:styleId="Cabealho">
    <w:name w:val="Header"/>
    <w:basedOn w:val="Normal"/>
    <w:pPr/>
    <w:rPr/>
  </w:style>
  <w:style w:type="paragraph" w:styleId="Rodap">
    <w:name w:val="Footer"/>
    <w:basedOn w:val="Normal"/>
    <w:pPr/>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JBCS.XSL" StyleName="JBCS - J. Braz. Chem. Soc. (ACS)"/>
</file>

<file path=customXml/itemProps1.xml><?xml version="1.0" encoding="utf-8"?>
<ds:datastoreItem xmlns:ds="http://schemas.openxmlformats.org/officeDocument/2006/customXml" ds:itemID="{21F3012E-CF7B-4D55-BEB5-548D82040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LibreOffice/5.3.2.2$Windows_x86 LibreOffice_project/6cd4f1ef626f15116896b1d8e1398b56da0d0ee1</Application>
  <Pages>11</Pages>
  <Words>1472</Words>
  <Characters>8167</Characters>
  <CharactersWithSpaces>9451</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2026-04-11T23:27:00Z</dcterms:created>
  <dc:creator>Un-named</dc:creator>
  <dc:description/>
  <dc:language>pt-BR</dc:language>
  <cp:lastModifiedBy>wagner.araujo</cp:lastModifiedBy>
  <dcterms:modified xsi:type="dcterms:W3CDTF">2026-05-07T03:30:00Z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