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34D" w:rsidRDefault="00AB4778">
      <w:pPr>
        <w:spacing w:line="480" w:lineRule="auto"/>
        <w:jc w:val="center"/>
      </w:pPr>
      <w:r>
        <w:rPr>
          <w:b/>
          <w:bCs/>
        </w:rPr>
        <w:t>The Use of Inductively Coupled Plasma Optical Emission Spectrometry in the Multivariate Calibration of Steel Alloys: Combining Multiple Linear Regression and Ensemble Resampling Methods</w:t>
      </w:r>
    </w:p>
    <w:p w:rsidR="0028734D" w:rsidRDefault="00AB4778">
      <w:pPr>
        <w:spacing w:after="60"/>
        <w:jc w:val="center"/>
      </w:pPr>
      <w:r>
        <w:rPr>
          <w:b/>
          <w:bCs/>
          <w:i/>
          <w:iCs/>
        </w:rPr>
        <w:t xml:space="preserve">Wagner Oliveira de Araujo and Cid Nelson Silva</w:t>
      </w:r>
      <w:r>
        <w:rPr>
          <w:b/>
          <w:bCs/>
          <w:i/>
          <w:iCs/>
          <w:vertAlign w:val="superscript"/>
        </w:rPr>
        <w:t>*</w:t>
      </w:r>
    </w:p>
    <w:p w:rsidR="0028734D" w:rsidRDefault="00AB4778">
      <w:pPr>
        <w:spacing w:after="60"/>
        <w:jc w:val="center"/>
      </w:pPr>
      <w:r>
        <w:rPr>
          <w:i/>
          <w:iCs/>
          <w:sz w:val="20"/>
          <w:szCs w:val="20"/>
        </w:rPr>
        <w:t>Instituto Federal de Educação, Ciência e Tecnologia de Goiás (IFG), Campus Anápolis, Bacharelado em Ciência da Computação, Anápolis, GO, Brazil</w:t>
      </w:r>
    </w:p>
    <w:p w:rsidR="0028734D" w:rsidRDefault="00AB4778">
      <w:pPr>
        <w:spacing w:after="200"/>
        <w:jc w:val="center"/>
      </w:pPr>
      <w:r>
        <w:rPr>
          <w:i/>
          <w:iCs/>
          <w:sz w:val="20"/>
          <w:szCs w:val="20"/>
        </w:rPr>
        <w:t>*cid.silva@ifg.edu.br</w:t>
      </w:r>
    </w:p>
    <w:p w:rsidR="0028734D" w:rsidRDefault="00AB4778">
      <w:pPr>
        <w:spacing w:line="480" w:lineRule="auto"/>
        <w:jc w:val="both"/>
      </w:pPr>
      <w:r>
        <w:t xml:space="preserve">This study investigates the application of resampling techniques — bagging and subagging — combined with Multiple Linear Regression (MLR) for the multivariate calibration of steel alloy samples (Mn, Cr, Mo, Ni, Fe) analyzed by inductively coupled plasma optical emission spectrometry (ICP-OES)</w:t>
      </w:r>
      <w:r>
        <w:rPr>
          <w:vertAlign w:val="superscript"/>
        </w:rPr>
        <w:t>1, 43, 44</w:t>
      </w:r>
      <w:r>
        <w:t xml:space="preserve">. The spectral dataset comprises 723 variables per sample, with 17 calibration and up to 34 test samples per element, representing a high-dimensional regime (</w:t>
      </w:r>
      <w:r>
        <w:rPr>
          <w:i/>
          <w:iCs/>
        </w:rPr>
        <w:t xml:space="preserve">p ≫ n</w:t>
      </w:r>
      <w:r>
        <w:t xml:space="preserve">) addressed via the Moore-Penrose pseudoinverse. Hyperparameter optimization was performed using 5-fold cross-validation applied exclusively to the calibration set. Results show no universally superior technique: MLR-subagging achieved the best Root Mean Square Error of Prediction (RMSEP) for Mn (0.0966) and Ni (1.6003); MLR-bagging was superior for Fe (RMSEP = 2.6406); and classical MLR performed best for Mo and Cr. All models yielded R</w:t>
      </w:r>
      <w:r>
        <w:rPr>
          <w:vertAlign w:val="superscript"/>
        </w:rPr>
        <w:t>2</w:t>
      </w:r>
      <w:r>
        <w:t xml:space="preserve"> &gt; 0.98. Notably, MLR-subagging was on average 3.0 times faster than MLR-bagging, establishing it as a highly balanced alternative between predictive accuracy and computational efficiency for industrial applications.</w:t>
      </w:r>
    </w:p>
    <w:p w:rsidR="0028734D" w:rsidRDefault="00AB4778">
      <w:pPr>
        <w:spacing w:after="200"/>
        <w:jc w:val="both"/>
      </w:pPr>
      <w:r>
        <w:rPr>
          <w:b/>
          <w:bCs/>
        </w:rPr>
        <w:t xml:space="preserve">Keywords: </w:t>
      </w:r>
      <w:r>
        <w:t>resampling; multivariate calibration; bagging; subagging; chemometrics; steel alloys.</w:t>
      </w:r>
    </w:p>
    <w:p w:rsidR="00E47A51" w:rsidRDefault="00E47A51">
      <w:pPr>
        <w:spacing w:after="200"/>
        <w:jc w:val="both"/>
      </w:pPr>
    </w:p>
    <w:p w:rsidR="0028734D" w:rsidRDefault="00AB4778">
      <w:pPr>
        <w:spacing w:before="200" w:after="60"/>
      </w:pPr>
      <w:r>
        <w:rPr>
          <w:b/>
          <w:bCs/>
          <w:caps/>
        </w:rPr>
        <w:t>Introduction</w:t>
      </w:r>
    </w:p>
    <w:p w:rsidR="0028734D" w:rsidRDefault="00AB4778">
      <w:pPr>
        <w:spacing w:line="480" w:lineRule="auto"/>
        <w:ind w:firstLine="720"/>
        <w:jc w:val="both"/>
      </w:pPr>
      <w:r>
        <w:t xml:space="preserve">Multivariate calibration plays a fundamental role in analytical chemistry and industrial quality control, enabling the extraction of quantitative information from complex spectral data</w:t>
      </w:r>
      <w:r>
        <w:rPr>
          <w:vertAlign w:val="superscript"/>
        </w:rPr>
        <w:t>1-3</w:t>
      </w:r>
      <w:r>
        <w:t xml:space="preserve">. Statistical modeling of multivariate data has been extensively discussed in the literature,</w:t>
      </w:r>
      <w:r>
        <w:rPr>
          <w:vertAlign w:val="superscript"/>
        </w:rPr>
        <w:t>9, 10</w:t>
      </w:r>
      <w:r>
        <w:t xml:space="preserve"> and chemometric approaches have proven particularly effective for spectral quantification.</w:t>
      </w:r>
      <w:r>
        <w:rPr>
          <w:vertAlign w:val="superscript"/>
        </w:rPr>
        <w:t>44</w:t>
      </w:r>
    </w:p>
    <w:p w:rsidR="0028734D" w:rsidRDefault="00AB4778">
      <w:pPr>
        <w:spacing w:line="480" w:lineRule="auto"/>
        <w:ind w:firstLine="720"/>
        <w:jc w:val="both"/>
      </w:pPr>
      <w:r>
        <w:t xml:space="preserve">In spectrometric analysis, datasets frequently present a “large </w:t>
      </w:r>
      <w:r>
        <w:rPr>
          <w:i/>
          <w:iCs/>
        </w:rPr>
        <w:t xml:space="preserve">p</w:t>
      </w:r>
      <w:r>
        <w:t xml:space="preserve">, small </w:t>
      </w:r>
      <w:r>
        <w:rPr>
          <w:i/>
          <w:iCs/>
        </w:rPr>
        <w:t xml:space="preserve">n</w:t>
      </w:r>
      <w:r>
        <w:t xml:space="preserve">” problem, where the number of spectral variables (</w:t>
      </w:r>
      <w:r>
        <w:rPr>
          <w:i/>
          <w:iCs/>
        </w:rPr>
        <w:t xml:space="preserve">p</w:t>
      </w:r>
      <w:r>
        <w:t xml:space="preserve">) vastly exceeds the number of available calibration samples (</w:t>
      </w:r>
      <w:r>
        <w:rPr>
          <w:i/>
          <w:iCs/>
        </w:rPr>
        <w:t xml:space="preserve">n</w:t>
      </w:r>
      <w:r>
        <w:t xml:space="preserve">). While Partial Least Squares (PLS) is the standard approach to handle this multicollinearity, ensemble methods combined with Multiple Linear Regression (MLR) offer a compelling, computationally lightweight alternative. By aggregating multiple models trained on resampled data, bagging and subagging inherently reduce prediction variance without the need for latent variable extraction,</w:t>
      </w:r>
      <w:r>
        <w:rPr>
          <w:vertAlign w:val="superscript"/>
        </w:rPr>
        <w:t>20</w:t>
      </w:r>
      <w:r>
        <w:t xml:space="preserve"> building on the resampling theory established by Efron.</w:t>
      </w:r>
      <w:r>
        <w:rPr>
          <w:vertAlign w:val="superscript"/>
        </w:rPr>
        <w:t>16, 17</w:t>
      </w:r>
    </w:p>
    <w:p w:rsidR="0028734D" w:rsidRDefault="00AB4778">
      <w:pPr>
        <w:spacing w:line="480" w:lineRule="auto"/>
        <w:ind w:firstLine="720"/>
        <w:jc w:val="both"/>
      </w:pPr>
      <w:r>
        <w:t xml:space="preserve">This work aims to compare classical MLR, MLR-bagging, and MLR-subagging for the multivariate calibration of steel alloy spectra. We evaluate predictive accuracy (RMSEP, MAE, R</w:t>
      </w:r>
      <w:r>
        <w:rPr>
          <w:vertAlign w:val="superscript"/>
        </w:rPr>
        <w:t>2</w:t>
      </w:r>
      <w:r>
        <w:t xml:space="preserve">) and computational efficiency, with hyperparameter selection conducted via rigorous 5-fold cross-validation to ensure methodological reproducibility.</w:t>
      </w:r>
      <w:r>
        <w:rPr>
          <w:vertAlign w:val="superscript"/>
        </w:rPr>
        <w:t>4, 5</w:t>
      </w:r>
    </w:p>
    <w:p w:rsidR="0028734D" w:rsidRDefault="00AB4778">
      <w:pPr>
        <w:spacing w:before="200" w:after="60"/>
      </w:pPr>
      <w:r>
        <w:rPr>
          <w:b/>
          <w:bCs/>
          <w:caps/>
        </w:rPr>
        <w:t>Experimental</w:t>
      </w:r>
    </w:p>
    <w:p w:rsidR="0028734D" w:rsidRDefault="00AB4778">
      <w:pPr>
        <w:spacing w:before="120" w:after="40"/>
      </w:pPr>
      <w:r>
        <w:rPr>
          <w:b/>
          <w:bCs/>
          <w:i/>
          <w:iCs/>
        </w:rPr>
        <w:t>Steel alloy dataset</w:t>
      </w:r>
    </w:p>
    <w:p w:rsidR="0028734D" w:rsidRDefault="0028734D">
      <w:pPr>
        <w:spacing w:line="480" w:lineRule="auto"/>
        <w:ind w:firstLine="720"/>
        <w:jc w:val="both"/>
      </w:pPr>
    </w:p>
    <w:p w:rsidR="0028734D" w:rsidRDefault="00AB4778">
      <w:pPr>
        <w:spacing w:before="80" w:after="60"/>
        <w:jc w:val="center"/>
      </w:pPr>
      <w:r>
        <w:rPr>
          <w:b/>
          <w:bCs/>
        </w:rPr>
        <w:t xml:space="preserve">Table 1.</w:t>
      </w:r>
      <w:r>
        <w:t xml:space="preserve"> Dimensions of calibration and test datasets for each analyte</w:t>
      </w:r>
    </w:p>
    <w:tbl>
      <w:tblPr>
        <w:tblW w:w="8800" w:type="dxa"/>
        <w:tblInd w:w="7" w:type="dxa"/>
        <w:tblBorders>
          <w:top w:val="single" w:sz="8" w:space="0" w:color="000001"/>
          <w:bottom w:val="single" w:sz="8" w:space="0" w:color="000001"/>
          <w:insideH w:val="single" w:sz="8" w:space="0" w:color="000001"/>
        </w:tblBorders>
        <w:tblCellMar>
          <w:top w:w="60" w:type="dxa"/>
          <w:left w:w="120" w:type="dxa"/>
          <w:bottom w:w="60" w:type="dxa"/>
          <w:right w:w="120" w:type="dxa"/>
        </w:tblCellMar>
      </w:tblPr>
      <w:tblGrid>
        <w:gridCol w:w="1200"/>
        <w:gridCol w:w="3800"/>
        <w:gridCol w:w="3800"/>
      </w:tblGrid>
      <w:tr w:rsidR="0028734D">
        <w:tc>
          <w:tcPr>
            <w:tcW w:w="1200" w:type="dxa"/>
            <w:tcBorders>
              <w:top w:val="single" w:sz="8" w:space="0" w:color="000001"/>
              <w:bottom w:val="single" w:sz="8" w:space="0" w:color="000001"/>
            </w:tcBorders>
            <w:shd w:val="clear" w:color="auto" w:fill="auto"/>
          </w:tcPr>
          <w:p w:rsidR="0028734D" w:rsidRDefault="00AB4778">
            <w:pPr>
              <w:jc w:val="center"/>
            </w:pPr>
            <w:r>
              <w:rPr>
                <w:b/>
                <w:bCs/>
              </w:rPr>
              <w:t>Element</w:t>
            </w:r>
          </w:p>
        </w:tc>
        <w:tc>
          <w:tcPr>
            <w:tcW w:w="3800" w:type="dxa"/>
            <w:tcBorders>
              <w:top w:val="single" w:sz="8" w:space="0" w:color="000001"/>
              <w:bottom w:val="single" w:sz="8" w:space="0" w:color="000001"/>
            </w:tcBorders>
            <w:shd w:val="clear" w:color="auto" w:fill="auto"/>
          </w:tcPr>
          <w:p w:rsidR="0028734D" w:rsidRDefault="00AB4778">
            <w:pPr>
              <w:jc w:val="center"/>
            </w:pPr>
            <w:r>
              <w:rPr>
                <w:b/>
                <w:bCs/>
              </w:rPr>
              <w:t>Calibration set</w:t>
            </w:r>
          </w:p>
        </w:tc>
        <w:tc>
          <w:tcPr>
            <w:tcW w:w="3800" w:type="dxa"/>
            <w:tcBorders>
              <w:top w:val="single" w:sz="8" w:space="0" w:color="000001"/>
              <w:bottom w:val="single" w:sz="8" w:space="0" w:color="000001"/>
            </w:tcBorders>
            <w:shd w:val="clear" w:color="auto" w:fill="auto"/>
          </w:tcPr>
          <w:p w:rsidR="0028734D" w:rsidRDefault="00AB4778">
            <w:pPr>
              <w:jc w:val="center"/>
            </w:pPr>
            <w:r>
              <w:rPr>
                <w:b/>
                <w:bCs/>
              </w:rPr>
              <w:t>Test set</w:t>
            </w:r>
          </w:p>
        </w:tc>
      </w:tr>
      <w:tr w:rsidR="0028734D">
        <w:tc>
          <w:tcPr>
            <w:tcW w:w="1200" w:type="dxa"/>
            <w:shd w:val="clear" w:color="auto" w:fill="auto"/>
          </w:tcPr>
          <w:p w:rsidR="0028734D" w:rsidRDefault="00AB4778">
            <w:pPr>
              <w:jc w:val="center"/>
            </w:pPr>
            <w:r>
              <w:t xml:space="preserve">Mn</w:t>
            </w:r>
          </w:p>
        </w:tc>
        <w:tc>
          <w:tcPr>
            <w:tcW w:w="3800" w:type="dxa"/>
            <w:shd w:val="clear" w:color="auto" w:fill="auto"/>
          </w:tcPr>
          <w:p w:rsidR="0028734D" w:rsidRDefault="00AB4778">
            <w:pPr>
              <w:jc w:val="center"/>
            </w:pPr>
            <w:r>
              <w:t xml:space="preserve">Xcal (17×723), Ycal (17×1)</w:t>
            </w:r>
          </w:p>
        </w:tc>
        <w:tc>
          <w:tcPr>
            <w:tcW w:w="3800" w:type="dxa"/>
            <w:shd w:val="clear" w:color="auto" w:fill="auto"/>
          </w:tcPr>
          <w:p w:rsidR="0028734D" w:rsidRDefault="00AB4778">
            <w:pPr>
              <w:jc w:val="center"/>
            </w:pPr>
            <w:r>
              <w:t xml:space="preserve">Xtest (34×723), ytest (34×1)</w:t>
            </w:r>
          </w:p>
        </w:tc>
      </w:tr>
      <w:tr w:rsidR="0028734D">
        <w:tc>
          <w:tcPr>
            <w:tcW w:w="1200" w:type="dxa"/>
            <w:shd w:val="clear" w:color="auto" w:fill="auto"/>
          </w:tcPr>
          <w:p w:rsidR="0028734D" w:rsidRDefault="00AB4778">
            <w:pPr>
              <w:jc w:val="center"/>
            </w:pPr>
            <w:r>
              <w:t xml:space="preserve">Mo</w:t>
            </w:r>
          </w:p>
        </w:tc>
        <w:tc>
          <w:tcPr>
            <w:tcW w:w="3800" w:type="dxa"/>
            <w:shd w:val="clear" w:color="auto" w:fill="auto"/>
          </w:tcPr>
          <w:p w:rsidR="0028734D" w:rsidRDefault="00AB4778">
            <w:pPr>
              <w:jc w:val="center"/>
            </w:pPr>
            <w:r>
              <w:t xml:space="preserve">Xcal (17×723), Ycal (17×1)</w:t>
            </w:r>
          </w:p>
        </w:tc>
        <w:tc>
          <w:tcPr>
            <w:tcW w:w="3800" w:type="dxa"/>
            <w:shd w:val="clear" w:color="auto" w:fill="auto"/>
          </w:tcPr>
          <w:p w:rsidR="0028734D" w:rsidRDefault="00AB4778">
            <w:pPr>
              <w:jc w:val="center"/>
            </w:pPr>
            <w:r>
              <w:t xml:space="preserve">Xtest (21×723), ytest (21×1)</w:t>
            </w:r>
          </w:p>
        </w:tc>
      </w:tr>
      <w:tr w:rsidR="0028734D">
        <w:tc>
          <w:tcPr>
            <w:tcW w:w="1200" w:type="dxa"/>
            <w:shd w:val="clear" w:color="auto" w:fill="auto"/>
          </w:tcPr>
          <w:p w:rsidR="0028734D" w:rsidRDefault="00AB4778">
            <w:pPr>
              <w:jc w:val="center"/>
            </w:pPr>
            <w:r>
              <w:t xml:space="preserve">Cr</w:t>
            </w:r>
          </w:p>
        </w:tc>
        <w:tc>
          <w:tcPr>
            <w:tcW w:w="3800" w:type="dxa"/>
            <w:shd w:val="clear" w:color="auto" w:fill="auto"/>
          </w:tcPr>
          <w:p w:rsidR="0028734D" w:rsidRDefault="00AB4778">
            <w:pPr>
              <w:jc w:val="center"/>
            </w:pPr>
            <w:r>
              <w:t xml:space="preserve">Xcal (17×723), Ycal (17×1)</w:t>
            </w:r>
          </w:p>
        </w:tc>
        <w:tc>
          <w:tcPr>
            <w:tcW w:w="3800" w:type="dxa"/>
            <w:shd w:val="clear" w:color="auto" w:fill="auto"/>
          </w:tcPr>
          <w:p w:rsidR="0028734D" w:rsidRDefault="00AB4778">
            <w:pPr>
              <w:jc w:val="center"/>
            </w:pPr>
            <w:r>
              <w:t xml:space="preserve">Xtest (34×723), ytest (34×1)</w:t>
            </w:r>
          </w:p>
        </w:tc>
      </w:tr>
      <w:tr w:rsidR="0028734D">
        <w:tc>
          <w:tcPr>
            <w:tcW w:w="1200" w:type="dxa"/>
            <w:shd w:val="clear" w:color="auto" w:fill="auto"/>
          </w:tcPr>
          <w:p w:rsidR="0028734D" w:rsidRDefault="00AB4778">
            <w:pPr>
              <w:jc w:val="center"/>
            </w:pPr>
            <w:r>
              <w:t xml:space="preserve">Ni</w:t>
            </w:r>
          </w:p>
        </w:tc>
        <w:tc>
          <w:tcPr>
            <w:tcW w:w="3800" w:type="dxa"/>
            <w:shd w:val="clear" w:color="auto" w:fill="auto"/>
          </w:tcPr>
          <w:p w:rsidR="0028734D" w:rsidRDefault="00AB4778">
            <w:pPr>
              <w:jc w:val="center"/>
            </w:pPr>
            <w:r>
              <w:t xml:space="preserve">Xcal (17×723), Ycal (17×1)</w:t>
            </w:r>
          </w:p>
        </w:tc>
        <w:tc>
          <w:tcPr>
            <w:tcW w:w="3800" w:type="dxa"/>
            <w:shd w:val="clear" w:color="auto" w:fill="auto"/>
          </w:tcPr>
          <w:p w:rsidR="0028734D" w:rsidRDefault="00AB4778">
            <w:pPr>
              <w:jc w:val="center"/>
            </w:pPr>
            <w:r>
              <w:t xml:space="preserve">Xtest (20×723), ytest (20×1)</w:t>
            </w:r>
          </w:p>
        </w:tc>
      </w:tr>
      <w:tr w:rsidR="0028734D">
        <w:tc>
          <w:tcPr>
            <w:tcW w:w="1200" w:type="dxa"/>
            <w:shd w:val="clear" w:color="auto" w:fill="auto"/>
          </w:tcPr>
          <w:p w:rsidR="0028734D" w:rsidRDefault="00AB4778">
            <w:pPr>
              <w:jc w:val="center"/>
            </w:pPr>
            <w:r>
              <w:t xml:space="preserve">Fe</w:t>
            </w:r>
          </w:p>
        </w:tc>
        <w:tc>
          <w:tcPr>
            <w:tcW w:w="3800" w:type="dxa"/>
            <w:shd w:val="clear" w:color="auto" w:fill="auto"/>
          </w:tcPr>
          <w:p w:rsidR="0028734D" w:rsidRDefault="00AB4778">
            <w:pPr>
              <w:jc w:val="center"/>
            </w:pPr>
            <w:r>
              <w:t xml:space="preserve">Xcal (17×723), Ycal (17×1)</w:t>
            </w:r>
          </w:p>
        </w:tc>
        <w:tc>
          <w:tcPr>
            <w:tcW w:w="3800" w:type="dxa"/>
            <w:shd w:val="clear" w:color="auto" w:fill="auto"/>
          </w:tcPr>
          <w:p w:rsidR="0028734D" w:rsidRDefault="00AB4778">
            <w:pPr>
              <w:jc w:val="center"/>
            </w:pPr>
            <w:r>
              <w:t xml:space="preserve">Xtest (34×723), ytest (34×1)</w:t>
            </w:r>
          </w:p>
        </w:tc>
      </w:tr>
    </w:tbl>
    <w:p w:rsidR="0028734D" w:rsidRDefault="00AB4778">
      <w:pPr>
        <w:spacing w:line="480" w:lineRule="auto"/>
        <w:ind w:firstLine="720"/>
        <w:jc w:val="both"/>
      </w:pPr>
      <w:r>
        <w:t xml:space="preserve">Each sample is represented by 723 spectral variables. Although the calibration set is small (</w:t>
      </w:r>
      <w:r>
        <w:rPr>
          <w:i/>
          <w:iCs/>
        </w:rPr>
        <w:t xml:space="preserve">n</w:t>
      </w:r>
      <w:r>
        <w:t xml:space="preserve">=17) relative to the number of predictors (</w:t>
      </w:r>
      <w:r>
        <w:rPr>
          <w:i/>
          <w:iCs/>
        </w:rPr>
        <w:t xml:space="preserve">p</w:t>
      </w:r>
      <w:r>
        <w:t xml:space="preserve">=723), this reflects realistic, resource-constrained industrial scenarios where obtaining certified reference materials is costly. To mitigate the inherent risk of overfitting in this </w:t>
      </w:r>
      <w:r>
        <w:rPr>
          <w:i/>
          <w:iCs/>
        </w:rPr>
        <w:t xml:space="preserve">p ≫ n</w:t>
      </w:r>
      <w:r>
        <w:t xml:space="preserve"> regime, the Moore-Penrose pseudoinverse is employed, and rigorous 5-fold cross-validation is applied exclusively to the calibration set to ensure model generalization and prevent data leakage.</w:t>
      </w:r>
      <w:r>
        <w:rPr>
          <w:vertAlign w:val="superscript"/>
        </w:rPr>
        <w:t>43-45</w:t>
      </w:r>
      <w:r>
        <w:t xml:space="preserve"> Furthermore, no spectral pre-processing (e.g., baseline correction or autoscaling) was applied prior to modeling, as the ensemble aggregation inherently provides robustness against minor spectral shifts and noise.</w:t>
      </w:r>
    </w:p>
    <w:p w:rsidR="0028734D" w:rsidRDefault="00AB4778">
      <w:pPr>
        <w:spacing w:before="120" w:after="40"/>
      </w:pPr>
      <w:r>
        <w:rPr>
          <w:b/>
          <w:bCs/>
          <w:i/>
          <w:iCs/>
        </w:rPr>
        <w:t>Multiple Linear Regression</w:t>
      </w:r>
    </w:p>
    <w:p w:rsidR="0028734D" w:rsidRDefault="00AB4778">
      <w:pPr>
        <w:spacing w:line="480" w:lineRule="auto"/>
        <w:ind w:firstLine="720"/>
        <w:jc w:val="both"/>
      </w:pPr>
      <w:r>
        <w:t xml:space="preserve">The MLR coefficients are estimated as:</w:t>
      </w:r>
    </w:p>
    <w:p w:rsidR="0028734D" w:rsidRDefault="00AB4778">
      <w:pPr>
        <w:spacing w:before="80" w:after="80"/>
        <w:jc w:val="center"/>
      </w:pPr>
      <w:r>
        <w:rPr>
          <w:i/>
          <w:iCs/>
        </w:rPr>
        <w:t>β̂ = X⁺y ≜ (XᵀX)⁻¹Xᵀy    (1)</w:t>
      </w:r>
    </w:p>
    <w:p w:rsidR="0028734D" w:rsidRDefault="00AB4778">
      <w:pPr>
        <w:spacing w:line="480" w:lineRule="auto"/>
        <w:ind w:firstLine="720"/>
        <w:jc w:val="both"/>
      </w:pPr>
      <w:r>
        <w:t xml:space="preserve">This formulation provides a unique minimum-norm solution even for under-determined systems, as is inherent in high-dimensional spectrometric data.</w:t>
      </w:r>
      <w:r>
        <w:rPr>
          <w:vertAlign w:val="superscript"/>
        </w:rPr>
        <w:t>3, 6</w:t>
      </w:r>
      <w:r>
        <w:t xml:space="preserve"> When classical assumptions such as homoscedasticity and normality of residuals are violated, robust alternatives become necessary.</w:t>
      </w:r>
      <w:r>
        <w:rPr>
          <w:vertAlign w:val="superscript"/>
        </w:rPr>
        <w:t>7, 8</w:t>
      </w:r>
    </w:p>
    <w:p w:rsidR="0028734D" w:rsidRDefault="00AB4778">
      <w:pPr>
        <w:spacing w:before="120" w:after="40"/>
      </w:pPr>
      <w:r>
        <w:rPr>
          <w:b/>
          <w:bCs/>
          <w:i/>
          <w:iCs/>
        </w:rPr>
        <w:t>Bagging and Subagging</w:t>
      </w:r>
    </w:p>
    <w:p w:rsidR="0028734D" w:rsidRDefault="00AB4778">
      <w:pPr>
        <w:spacing w:line="480" w:lineRule="auto"/>
        <w:ind w:firstLine="720"/>
        <w:jc w:val="both"/>
      </w:pPr>
      <w:r>
        <w:t xml:space="preserve">The bagging prediction is formulated as:</w:t>
      </w:r>
    </w:p>
    <w:p w:rsidR="0028734D" w:rsidRDefault="00AB4778">
      <w:pPr>
        <w:spacing w:before="80" w:after="80"/>
        <w:jc w:val="center"/>
      </w:pPr>
      <w:r>
        <w:rPr>
          <w:i/>
          <w:iCs/>
        </w:rPr>
        <w:t>ŷ̂bag = (1/B) ∑ᵇⁱⁱⁱᵉ ŷ̂(b)    (2)</w:t>
      </w:r>
    </w:p>
    <w:p w:rsidR="0028734D" w:rsidRDefault="00AB4778">
      <w:pPr>
        <w:spacing w:line="480" w:lineRule="auto"/>
        <w:ind w:firstLine="720"/>
        <w:jc w:val="both"/>
      </w:pPr>
      <w:r>
        <w:t xml:space="preserve">Bootstrap resampling provides the theoretical foundation for both techniques, enabling the estimation of prediction error distributions without parametric assumptions.</w:t>
      </w:r>
      <w:r>
        <w:rPr>
          <w:vertAlign w:val="superscript"/>
        </w:rPr>
        <w:t>16-19</w:t>
      </w:r>
      <w:r>
        <w:t xml:space="preserve"> Recent advances have extended bootstrap inference to functional regression,</w:t>
      </w:r>
      <w:r>
        <w:rPr>
          <w:vertAlign w:val="superscript"/>
        </w:rPr>
        <w:t>11</w:t>
      </w:r>
      <w:r>
        <w:t xml:space="preserve"> mediation analysis,</w:t>
      </w:r>
      <w:r>
        <w:rPr>
          <w:vertAlign w:val="superscript"/>
        </w:rPr>
        <w:t>12</w:t>
      </w:r>
      <w:r>
        <w:t xml:space="preserve"> multiplier bootstrap,</w:t>
      </w:r>
      <w:r>
        <w:rPr>
          <w:vertAlign w:val="superscript"/>
        </w:rPr>
        <w:t>13</w:t>
      </w:r>
      <w:r>
        <w:t xml:space="preserve"> and cross-validation for randomized ensembles.</w:t>
      </w:r>
      <w:r>
        <w:rPr>
          <w:vertAlign w:val="superscript"/>
        </w:rPr>
        <w:t>14, 15</w:t>
      </w:r>
    </w:p>
    <w:p w:rsidR="0028734D" w:rsidRDefault="00AB4778">
      <w:pPr>
        <w:spacing w:line="480" w:lineRule="auto"/>
        <w:ind w:firstLine="720"/>
        <w:jc w:val="both"/>
      </w:pPr>
      <w:r>
        <w:t xml:space="preserve">Bagging has been successfully applied to ridge regression,</w:t>
      </w:r>
      <w:r>
        <w:rPr>
          <w:vertAlign w:val="superscript"/>
        </w:rPr>
        <w:t>26</w:t>
      </w:r>
      <w:r>
        <w:t xml:space="preserve"> PLS models in pharmaceutical analysis,</w:t>
      </w:r>
      <w:r>
        <w:rPr>
          <w:vertAlign w:val="superscript"/>
        </w:rPr>
        <w:t>23, 28</w:t>
      </w:r>
      <w:r>
        <w:t xml:space="preserve"> geospatial classification,</w:t>
      </w:r>
      <w:r>
        <w:rPr>
          <w:vertAlign w:val="superscript"/>
        </w:rPr>
        <w:t>27</w:t>
      </w:r>
      <w:r>
        <w:t xml:space="preserve"> and calibration transfer in spectrometry.</w:t>
      </w:r>
      <w:r>
        <w:rPr>
          <w:vertAlign w:val="superscript"/>
        </w:rPr>
        <w:t>30</w:t>
      </w:r>
      <w:r>
        <w:t xml:space="preserve"> Empirical comparisons confirm its variance-reduction effect across diverse regression tasks,</w:t>
      </w:r>
      <w:r>
        <w:rPr>
          <w:vertAlign w:val="superscript"/>
        </w:rPr>
        <w:t>31, 32</w:t>
      </w:r>
      <w:r>
        <w:t xml:space="preserve"> and chemometric applications further demonstrate the suitability of ensemble strategies for complex spectral data.</w:t>
      </w:r>
      <w:r>
        <w:rPr>
          <w:vertAlign w:val="superscript"/>
        </w:rPr>
        <w:t>24</w:t>
      </w:r>
    </w:p>
    <w:p w:rsidR="0028734D" w:rsidRDefault="00AB4778">
      <w:pPr>
        <w:spacing w:line="480" w:lineRule="auto"/>
        <w:ind w:firstLine="720"/>
        <w:jc w:val="both"/>
      </w:pPr>
      <w:r>
        <w:t xml:space="preserve">Subagging (subsampling aggregation) has been applied to extreme learning machines for spectral analysis,</w:t>
      </w:r>
      <w:r>
        <w:rPr>
          <w:vertAlign w:val="superscript"/>
        </w:rPr>
        <w:t>38</w:t>
      </w:r>
      <w:r>
        <w:t xml:space="preserve"> Gaussian process modeling,</w:t>
      </w:r>
      <w:r>
        <w:rPr>
          <w:vertAlign w:val="superscript"/>
        </w:rPr>
        <w:t>36</w:t>
      </w:r>
      <w:r>
        <w:t xml:space="preserve"> credit scoring,</w:t>
      </w:r>
      <w:r>
        <w:rPr>
          <w:vertAlign w:val="superscript"/>
        </w:rPr>
        <w:t>40</w:t>
      </w:r>
      <w:r>
        <w:t xml:space="preserve"> network anomaly detection,</w:t>
      </w:r>
      <w:r>
        <w:rPr>
          <w:vertAlign w:val="superscript"/>
        </w:rPr>
        <w:t>39</w:t>
      </w:r>
      <w:r>
        <w:t xml:space="preserve"> and treatment regime estimation.</w:t>
      </w:r>
      <w:r>
        <w:rPr>
          <w:vertAlign w:val="superscript"/>
        </w:rPr>
        <w:t>37</w:t>
      </w:r>
      <w:r>
        <w:t xml:space="preserve"> Theoretical conditions for its convergence and asymptotic efficiency have been established,</w:t>
      </w:r>
      <w:r>
        <w:rPr>
          <w:vertAlign w:val="superscript"/>
        </w:rPr>
        <w:t>34, 42</w:t>
      </w:r>
      <w:r>
        <w:t xml:space="preserve"> and variance quantification under a u-statistic framework has been investigated.</w:t>
      </w:r>
      <w:r>
        <w:rPr>
          <w:vertAlign w:val="superscript"/>
        </w:rPr>
        <w:t>41</w:t>
      </w:r>
      <w:r>
        <w:t xml:space="preserve"> Extensions to boosted probit trees</w:t>
      </w:r>
      <w:r>
        <w:rPr>
          <w:vertAlign w:val="superscript"/>
        </w:rPr>
        <w:t>35</w:t>
      </w:r>
      <w:r>
        <w:t xml:space="preserve"> further illustrate the versatility of subsampling aggregation strategies.</w:t>
      </w:r>
    </w:p>
    <w:p w:rsidR="0028734D" w:rsidRDefault="00AB4778">
      <w:pPr>
        <w:spacing w:before="120" w:after="40"/>
      </w:pPr>
      <w:r>
        <w:rPr>
          <w:b/>
          <w:bCs/>
          <w:i/>
          <w:iCs/>
        </w:rPr>
        <w:t>Hyperparameter selection and evaluation metrics</w:t>
      </w:r>
    </w:p>
    <w:p w:rsidR="0028734D" w:rsidRDefault="00AB4778">
      <w:pPr>
        <w:spacing w:line="480" w:lineRule="auto"/>
        <w:ind w:firstLine="720"/>
        <w:jc w:val="both"/>
      </w:pPr>
      <w:r>
        <w:t xml:space="preserve">Model performance was evaluated using standard chemometric metrics:</w:t>
      </w:r>
    </w:p>
    <w:p w:rsidR="0028734D" w:rsidRDefault="00AB4778">
      <w:pPr>
        <w:spacing w:before="80" w:after="80"/>
        <w:jc w:val="center"/>
      </w:pPr>
      <w:r>
        <w:rPr>
          <w:i/>
          <w:iCs/>
        </w:rPr>
        <w:t>RMSEP = √[ (1/n) ∑(ŷᵢ − yᵢ)² ]    (3)</w:t>
      </w:r>
    </w:p>
    <w:p w:rsidR="0028734D" w:rsidRDefault="00AB4778">
      <w:pPr>
        <w:spacing w:before="80" w:after="80"/>
        <w:jc w:val="center"/>
      </w:pPr>
      <w:r>
        <w:rPr>
          <w:i/>
          <w:iCs/>
        </w:rPr>
        <w:t>MAE = (1/n) ∑ |ŷᵢ − yᵢ|    (4)</w:t>
      </w:r>
    </w:p>
    <w:p w:rsidR="0028734D" w:rsidRDefault="00AB4778">
      <w:pPr>
        <w:spacing w:before="80" w:after="80"/>
        <w:jc w:val="center"/>
      </w:pPr>
      <w:r>
        <w:rPr>
          <w:i/>
          <w:iCs/>
        </w:rPr>
        <w:t>R² = 1 − ∑(ŷᵢ − yᵢ)² / ∑(ȳ − yᵢ)²    (5)</w:t>
      </w:r>
    </w:p>
    <w:p w:rsidR="0028734D" w:rsidRDefault="00AB4778">
      <w:pPr>
        <w:spacing w:line="480" w:lineRule="auto"/>
        <w:ind w:firstLine="720"/>
        <w:jc w:val="both"/>
      </w:pPr>
      <w:r>
        <w:t xml:space="preserve">All algorithms were implemented in Java SE-17 (Eclipse IDE 2025-09) using EJML 0.43.1 for matrix operations and JFreeChart 1.5.4 for visualization. Grid search covered the number of estimators </w:t>
      </w:r>
      <w:r>
        <w:rPr>
          <w:i/>
          <w:iCs/>
        </w:rPr>
        <w:t xml:space="preserve">m</w:t>
      </w:r>
      <w:r>
        <w:t xml:space="preserve"> ∈ {5, 10, 20, 30, 50} and the subsampling fraction </w:t>
      </w:r>
      <w:r>
        <w:rPr>
          <w:i/>
          <w:iCs/>
        </w:rPr>
        <w:t xml:space="preserve">k</w:t>
      </w:r>
      <w:r>
        <w:t xml:space="preserve"> ∈ {0.50, 0.60, 0.70, 0.80}.</w:t>
      </w:r>
      <w:r>
        <w:rPr>
          <w:vertAlign w:val="superscript"/>
        </w:rPr>
        <w:t>22, 29, 46-49</w:t>
      </w:r>
    </w:p>
    <w:p w:rsidR="0028734D" w:rsidRDefault="00AB4778">
      <w:pPr>
        <w:spacing w:before="200" w:after="60"/>
      </w:pPr>
      <w:r>
        <w:rPr>
          <w:b/>
          <w:bCs/>
          <w:caps/>
        </w:rPr>
        <w:t>Results and Discussion</w:t>
      </w:r>
    </w:p>
    <w:p w:rsidR="0028734D" w:rsidRDefault="00AB4778">
      <w:pPr>
        <w:spacing w:before="120" w:after="40"/>
      </w:pPr>
      <w:r>
        <w:rPr>
          <w:b/>
          <w:bCs/>
          <w:i/>
          <w:iCs/>
        </w:rPr>
        <w:t>Predictive performance</w:t>
      </w:r>
    </w:p>
    <w:p w:rsidR="0028734D" w:rsidRDefault="00AB4778">
      <w:pPr>
        <w:spacing w:before="80" w:after="60"/>
        <w:jc w:val="center"/>
      </w:pPr>
      <w:r>
        <w:rPr>
          <w:b/>
          <w:bCs/>
        </w:rPr>
        <w:t xml:space="preserve">Table 2.</w:t>
      </w:r>
      <w:r>
        <w:t xml:space="preserve"> Comparative performance of MLR, MLR-bagging and MLR-subagging for steel alloy elements. Optimized parameters: 5-fold CV (seed = 42). (*) denotes the best RMSEP per element.</w:t>
      </w:r>
    </w:p>
    <w:tbl>
      <w:tblPr>
        <w:tblW w:w="7100" w:type="dxa"/>
        <w:tblInd w:w="7" w:type="dxa"/>
        <w:tblBorders>
          <w:top w:val="single" w:sz="8" w:space="0" w:color="000001"/>
          <w:bottom w:val="single" w:sz="8" w:space="0" w:color="000001"/>
          <w:insideH w:val="single" w:sz="8" w:space="0" w:color="000001"/>
        </w:tblBorders>
        <w:tblCellMar>
          <w:top w:w="60" w:type="dxa"/>
          <w:left w:w="80" w:type="dxa"/>
          <w:bottom w:w="60" w:type="dxa"/>
          <w:right w:w="80" w:type="dxa"/>
        </w:tblCellMar>
      </w:tblPr>
      <w:tblGrid>
        <w:gridCol w:w="800"/>
        <w:gridCol w:w="1500"/>
        <w:gridCol w:w="1200"/>
        <w:gridCol w:w="1200"/>
        <w:gridCol w:w="1000"/>
        <w:gridCol w:w="1400"/>
      </w:tblGrid>
      <w:tr w:rsidR="0028734D">
        <w:tc>
          <w:tcPr>
            <w:tcW w:w="800" w:type="dxa"/>
            <w:tcBorders>
              <w:top w:val="single" w:sz="8" w:space="0" w:color="000001"/>
              <w:bottom w:val="single" w:sz="8" w:space="0" w:color="000001"/>
            </w:tcBorders>
            <w:shd w:val="clear" w:color="auto" w:fill="auto"/>
          </w:tcPr>
          <w:p w:rsidR="0028734D" w:rsidRDefault="00AB4778">
            <w:pPr>
              <w:jc w:val="center"/>
            </w:pPr>
            <w:r>
              <w:rPr>
                <w:b/>
                <w:bCs/>
              </w:rPr>
              <w:t>Element</w:t>
            </w:r>
          </w:p>
        </w:tc>
        <w:tc>
          <w:tcPr>
            <w:tcW w:w="1500" w:type="dxa"/>
            <w:tcBorders>
              <w:top w:val="single" w:sz="8" w:space="0" w:color="000001"/>
              <w:bottom w:val="single" w:sz="8" w:space="0" w:color="000001"/>
            </w:tcBorders>
            <w:shd w:val="clear" w:color="auto" w:fill="auto"/>
          </w:tcPr>
          <w:p w:rsidR="0028734D" w:rsidRDefault="00AB4778">
            <w:pPr>
              <w:jc w:val="center"/>
            </w:pPr>
            <w:r>
              <w:rPr>
                <w:b/>
                <w:bCs/>
              </w:rPr>
              <w:t>Technique</w:t>
            </w:r>
          </w:p>
        </w:tc>
        <w:tc>
          <w:tcPr>
            <w:tcW w:w="1200" w:type="dxa"/>
            <w:tcBorders>
              <w:top w:val="single" w:sz="8" w:space="0" w:color="000001"/>
              <w:bottom w:val="single" w:sz="8" w:space="0" w:color="000001"/>
            </w:tcBorders>
            <w:shd w:val="clear" w:color="auto" w:fill="auto"/>
          </w:tcPr>
          <w:p w:rsidR="0028734D" w:rsidRDefault="00AB4778">
            <w:pPr>
              <w:jc w:val="center"/>
            </w:pPr>
            <w:r>
              <w:rPr>
                <w:b/>
                <w:bCs/>
              </w:rPr>
              <w:t>RMSEP</w:t>
            </w:r>
          </w:p>
        </w:tc>
        <w:tc>
          <w:tcPr>
            <w:tcW w:w="1200" w:type="dxa"/>
            <w:tcBorders>
              <w:top w:val="single" w:sz="8" w:space="0" w:color="000001"/>
              <w:bottom w:val="single" w:sz="8" w:space="0" w:color="000001"/>
            </w:tcBorders>
            <w:shd w:val="clear" w:color="auto" w:fill="auto"/>
          </w:tcPr>
          <w:p w:rsidR="0028734D" w:rsidRDefault="00AB4778">
            <w:pPr>
              <w:jc w:val="center"/>
            </w:pPr>
            <w:r>
              <w:rPr>
                <w:b/>
                <w:bCs/>
              </w:rPr>
              <w:t>MAE</w:t>
            </w:r>
          </w:p>
        </w:tc>
        <w:tc>
          <w:tcPr>
            <w:tcW w:w="1000" w:type="dxa"/>
            <w:tcBorders>
              <w:top w:val="single" w:sz="8" w:space="0" w:color="000001"/>
              <w:bottom w:val="single" w:sz="8" w:space="0" w:color="000001"/>
            </w:tcBorders>
            <w:shd w:val="clear" w:color="auto" w:fill="auto"/>
          </w:tcPr>
          <w:p w:rsidR="0028734D" w:rsidRDefault="00AB4778">
            <w:pPr>
              <w:jc w:val="center"/>
            </w:pPr>
            <w:r>
              <w:rPr>
                <w:b/>
                <w:bCs/>
              </w:rPr>
              <w:t>R²</w:t>
            </w:r>
          </w:p>
        </w:tc>
        <w:tc>
          <w:tcPr>
            <w:tcW w:w="1400" w:type="dxa"/>
            <w:tcBorders>
              <w:top w:val="single" w:sz="8" w:space="0" w:color="000001"/>
              <w:bottom w:val="single" w:sz="8" w:space="0" w:color="000001"/>
            </w:tcBorders>
            <w:shd w:val="clear" w:color="auto" w:fill="auto"/>
          </w:tcPr>
          <w:p w:rsidR="0028734D" w:rsidRDefault="00AB4778">
            <w:pPr>
              <w:jc w:val="center"/>
            </w:pPr>
            <w:r>
              <w:rPr>
                <w:b/>
                <w:bCs/>
              </w:rPr>
              <w:t>Time (ms)</w:t>
            </w:r>
          </w:p>
        </w:tc>
      </w:tr>
      <w:tr w:rsidR="0028734D">
        <w:tc>
          <w:tcPr>
            <w:tcW w:w="800" w:type="dxa"/>
            <w:shd w:val="clear" w:color="auto" w:fill="auto"/>
          </w:tcPr>
          <w:p w:rsidR="0028734D" w:rsidRDefault="00AB4778">
            <w:pPr>
              <w:jc w:val="center"/>
            </w:pPr>
            <w:r>
              <w:t xml:space="preserve">Mn</w:t>
            </w:r>
          </w:p>
        </w:tc>
        <w:tc>
          <w:tcPr>
            <w:tcW w:w="1500" w:type="dxa"/>
            <w:shd w:val="clear" w:color="auto" w:fill="auto"/>
          </w:tcPr>
          <w:p w:rsidR="0028734D" w:rsidRDefault="00AB4778">
            <w:pPr>
              <w:jc w:val="center"/>
            </w:pPr>
            <w:r>
              <w:t xml:space="preserve">MLR</w:t>
            </w:r>
          </w:p>
        </w:tc>
        <w:tc>
          <w:tcPr>
            <w:tcW w:w="1200" w:type="dxa"/>
            <w:shd w:val="clear" w:color="auto" w:fill="auto"/>
          </w:tcPr>
          <w:p w:rsidR="0028734D" w:rsidRDefault="00AB4778">
            <w:pPr>
              <w:jc w:val="center"/>
            </w:pPr>
            <w:r>
              <w:t xml:space="preserve">0.1051</w:t>
            </w:r>
          </w:p>
        </w:tc>
        <w:tc>
          <w:tcPr>
            <w:tcW w:w="1200" w:type="dxa"/>
            <w:shd w:val="clear" w:color="auto" w:fill="auto"/>
          </w:tcPr>
          <w:p w:rsidR="0028734D" w:rsidRDefault="00AB4778">
            <w:pPr>
              <w:jc w:val="center"/>
            </w:pPr>
            <w:r>
              <w:t xml:space="preserve">0.0887</w:t>
            </w:r>
          </w:p>
        </w:tc>
        <w:tc>
          <w:tcPr>
            <w:tcW w:w="1000" w:type="dxa"/>
            <w:shd w:val="clear" w:color="auto" w:fill="auto"/>
          </w:tcPr>
          <w:p w:rsidR="0028734D" w:rsidRDefault="00AB4778">
            <w:pPr>
              <w:jc w:val="center"/>
            </w:pPr>
            <w:r>
              <w:t xml:space="preserve">0.9907</w:t>
            </w:r>
          </w:p>
        </w:tc>
        <w:tc>
          <w:tcPr>
            <w:tcW w:w="1400" w:type="dxa"/>
            <w:shd w:val="clear" w:color="auto" w:fill="auto"/>
          </w:tcPr>
          <w:p w:rsidR="0028734D" w:rsidRDefault="00AB4778">
            <w:pPr>
              <w:jc w:val="center"/>
            </w:pPr>
            <w:r>
              <w:t xml:space="preserve">2.4</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t xml:space="preserve">MLR-bagging</w:t>
            </w:r>
          </w:p>
        </w:tc>
        <w:tc>
          <w:tcPr>
            <w:tcW w:w="1200" w:type="dxa"/>
            <w:shd w:val="clear" w:color="auto" w:fill="auto"/>
          </w:tcPr>
          <w:p w:rsidR="0028734D" w:rsidRDefault="00AB4778">
            <w:pPr>
              <w:jc w:val="center"/>
            </w:pPr>
            <w:r>
              <w:t xml:space="preserve">0.1072</w:t>
            </w:r>
          </w:p>
        </w:tc>
        <w:tc>
          <w:tcPr>
            <w:tcW w:w="1200" w:type="dxa"/>
            <w:shd w:val="clear" w:color="auto" w:fill="auto"/>
          </w:tcPr>
          <w:p w:rsidR="0028734D" w:rsidRDefault="00AB4778">
            <w:pPr>
              <w:jc w:val="center"/>
            </w:pPr>
            <w:r>
              <w:t xml:space="preserve">0.0908</w:t>
            </w:r>
          </w:p>
        </w:tc>
        <w:tc>
          <w:tcPr>
            <w:tcW w:w="1000" w:type="dxa"/>
            <w:shd w:val="clear" w:color="auto" w:fill="auto"/>
          </w:tcPr>
          <w:p w:rsidR="0028734D" w:rsidRDefault="00AB4778">
            <w:pPr>
              <w:jc w:val="center"/>
            </w:pPr>
            <w:r>
              <w:t xml:space="preserve">0.9903</w:t>
            </w:r>
          </w:p>
        </w:tc>
        <w:tc>
          <w:tcPr>
            <w:tcW w:w="1400" w:type="dxa"/>
            <w:shd w:val="clear" w:color="auto" w:fill="auto"/>
          </w:tcPr>
          <w:p w:rsidR="0028734D" w:rsidRDefault="00AB4778">
            <w:pPr>
              <w:jc w:val="center"/>
            </w:pPr>
            <w:r>
              <w:t xml:space="preserve">68.2</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rPr>
                <w:b/>
                <w:bCs/>
              </w:rPr>
              <w:t xml:space="preserve">MLR-subagging*</w:t>
            </w:r>
          </w:p>
        </w:tc>
        <w:tc>
          <w:tcPr>
            <w:tcW w:w="1200" w:type="dxa"/>
            <w:shd w:val="clear" w:color="auto" w:fill="auto"/>
          </w:tcPr>
          <w:p w:rsidR="0028734D" w:rsidRDefault="00AB4778">
            <w:pPr>
              <w:jc w:val="center"/>
            </w:pPr>
            <w:r>
              <w:rPr>
                <w:b/>
                <w:bCs/>
              </w:rPr>
              <w:t xml:space="preserve">0.0966*</w:t>
            </w:r>
          </w:p>
        </w:tc>
        <w:tc>
          <w:tcPr>
            <w:tcW w:w="1200" w:type="dxa"/>
            <w:shd w:val="clear" w:color="auto" w:fill="auto"/>
          </w:tcPr>
          <w:p w:rsidR="0028734D" w:rsidRDefault="00AB4778">
            <w:pPr>
              <w:jc w:val="center"/>
            </w:pPr>
            <w:r>
              <w:rPr>
                <w:b/>
                <w:bCs/>
              </w:rPr>
              <w:t xml:space="preserve">0.0805*</w:t>
            </w:r>
          </w:p>
        </w:tc>
        <w:tc>
          <w:tcPr>
            <w:tcW w:w="1000" w:type="dxa"/>
            <w:shd w:val="clear" w:color="auto" w:fill="auto"/>
          </w:tcPr>
          <w:p w:rsidR="0028734D" w:rsidRDefault="00AB4778">
            <w:pPr>
              <w:jc w:val="center"/>
            </w:pPr>
            <w:r>
              <w:rPr>
                <w:b/>
                <w:bCs/>
              </w:rPr>
              <w:t xml:space="preserve">0.9922*</w:t>
            </w:r>
          </w:p>
        </w:tc>
        <w:tc>
          <w:tcPr>
            <w:tcW w:w="1400" w:type="dxa"/>
            <w:shd w:val="clear" w:color="auto" w:fill="auto"/>
          </w:tcPr>
          <w:p w:rsidR="0028734D" w:rsidRDefault="00AB4778">
            <w:pPr>
              <w:jc w:val="center"/>
            </w:pPr>
            <w:r>
              <w:rPr>
                <w:b/>
                <w:bCs/>
              </w:rPr>
              <w:t xml:space="preserve">17.1</w:t>
            </w:r>
          </w:p>
        </w:tc>
      </w:tr>
      <w:tr w:rsidR="0028734D">
        <w:tc>
          <w:tcPr>
            <w:tcW w:w="800" w:type="dxa"/>
            <w:shd w:val="clear" w:color="auto" w:fill="auto"/>
          </w:tcPr>
          <w:p w:rsidR="0028734D" w:rsidRDefault="00AB4778">
            <w:pPr>
              <w:jc w:val="center"/>
            </w:pPr>
            <w:r>
              <w:t xml:space="preserve">Mo</w:t>
            </w:r>
          </w:p>
        </w:tc>
        <w:tc>
          <w:tcPr>
            <w:tcW w:w="1500" w:type="dxa"/>
            <w:shd w:val="clear" w:color="auto" w:fill="auto"/>
          </w:tcPr>
          <w:p w:rsidR="0028734D" w:rsidRDefault="00AB4778">
            <w:pPr>
              <w:jc w:val="center"/>
            </w:pPr>
            <w:r>
              <w:rPr>
                <w:b/>
                <w:bCs/>
              </w:rPr>
              <w:t xml:space="preserve">MLR*</w:t>
            </w:r>
          </w:p>
        </w:tc>
        <w:tc>
          <w:tcPr>
            <w:tcW w:w="1200" w:type="dxa"/>
            <w:shd w:val="clear" w:color="auto" w:fill="auto"/>
          </w:tcPr>
          <w:p w:rsidR="0028734D" w:rsidRDefault="00AB4778">
            <w:pPr>
              <w:jc w:val="center"/>
            </w:pPr>
            <w:r>
              <w:rPr>
                <w:b/>
                <w:bCs/>
              </w:rPr>
              <w:t xml:space="preserve">0.2633*</w:t>
            </w:r>
          </w:p>
        </w:tc>
        <w:tc>
          <w:tcPr>
            <w:tcW w:w="1200" w:type="dxa"/>
            <w:shd w:val="clear" w:color="auto" w:fill="auto"/>
          </w:tcPr>
          <w:p w:rsidR="0028734D" w:rsidRDefault="00AB4778">
            <w:pPr>
              <w:jc w:val="center"/>
            </w:pPr>
            <w:r>
              <w:rPr>
                <w:b/>
                <w:bCs/>
              </w:rPr>
              <w:t xml:space="preserve">0.1952*</w:t>
            </w:r>
          </w:p>
        </w:tc>
        <w:tc>
          <w:tcPr>
            <w:tcW w:w="1000" w:type="dxa"/>
            <w:shd w:val="clear" w:color="auto" w:fill="auto"/>
          </w:tcPr>
          <w:p w:rsidR="0028734D" w:rsidRDefault="00AB4778">
            <w:pPr>
              <w:jc w:val="center"/>
            </w:pPr>
            <w:r>
              <w:rPr>
                <w:b/>
                <w:bCs/>
              </w:rPr>
              <w:t xml:space="preserve">0.9882*</w:t>
            </w:r>
          </w:p>
        </w:tc>
        <w:tc>
          <w:tcPr>
            <w:tcW w:w="1400" w:type="dxa"/>
            <w:shd w:val="clear" w:color="auto" w:fill="auto"/>
          </w:tcPr>
          <w:p w:rsidR="0028734D" w:rsidRDefault="00AB4778">
            <w:pPr>
              <w:jc w:val="center"/>
            </w:pPr>
            <w:r>
              <w:rPr>
                <w:b/>
                <w:bCs/>
              </w:rPr>
              <w:t xml:space="preserve">2.4</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t xml:space="preserve">MLR-bagging</w:t>
            </w:r>
          </w:p>
        </w:tc>
        <w:tc>
          <w:tcPr>
            <w:tcW w:w="1200" w:type="dxa"/>
            <w:shd w:val="clear" w:color="auto" w:fill="auto"/>
          </w:tcPr>
          <w:p w:rsidR="0028734D" w:rsidRDefault="00AB4778">
            <w:pPr>
              <w:jc w:val="center"/>
            </w:pPr>
            <w:r>
              <w:t xml:space="preserve">0.3388</w:t>
            </w:r>
          </w:p>
        </w:tc>
        <w:tc>
          <w:tcPr>
            <w:tcW w:w="1200" w:type="dxa"/>
            <w:shd w:val="clear" w:color="auto" w:fill="auto"/>
          </w:tcPr>
          <w:p w:rsidR="0028734D" w:rsidRDefault="00AB4778">
            <w:pPr>
              <w:jc w:val="center"/>
            </w:pPr>
            <w:r>
              <w:t xml:space="preserve">0.2722</w:t>
            </w:r>
          </w:p>
        </w:tc>
        <w:tc>
          <w:tcPr>
            <w:tcW w:w="1000" w:type="dxa"/>
            <w:shd w:val="clear" w:color="auto" w:fill="auto"/>
          </w:tcPr>
          <w:p w:rsidR="0028734D" w:rsidRDefault="00AB4778">
            <w:pPr>
              <w:jc w:val="center"/>
            </w:pPr>
            <w:r>
              <w:t xml:space="preserve">0.9805</w:t>
            </w:r>
          </w:p>
        </w:tc>
        <w:tc>
          <w:tcPr>
            <w:tcW w:w="1400" w:type="dxa"/>
            <w:shd w:val="clear" w:color="auto" w:fill="auto"/>
          </w:tcPr>
          <w:p w:rsidR="0028734D" w:rsidRDefault="00AB4778">
            <w:pPr>
              <w:jc w:val="center"/>
            </w:pPr>
            <w:r>
              <w:t xml:space="preserve">67.5</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t xml:space="preserve">MLR-subagging</w:t>
            </w:r>
          </w:p>
        </w:tc>
        <w:tc>
          <w:tcPr>
            <w:tcW w:w="1200" w:type="dxa"/>
            <w:shd w:val="clear" w:color="auto" w:fill="auto"/>
          </w:tcPr>
          <w:p w:rsidR="0028734D" w:rsidRDefault="00AB4778">
            <w:pPr>
              <w:jc w:val="center"/>
            </w:pPr>
            <w:r>
              <w:t xml:space="preserve">0.2879</w:t>
            </w:r>
          </w:p>
        </w:tc>
        <w:tc>
          <w:tcPr>
            <w:tcW w:w="1200" w:type="dxa"/>
            <w:shd w:val="clear" w:color="auto" w:fill="auto"/>
          </w:tcPr>
          <w:p w:rsidR="0028734D" w:rsidRDefault="00AB4778">
            <w:pPr>
              <w:jc w:val="center"/>
            </w:pPr>
            <w:r>
              <w:t xml:space="preserve">0.2201</w:t>
            </w:r>
          </w:p>
        </w:tc>
        <w:tc>
          <w:tcPr>
            <w:tcW w:w="1000" w:type="dxa"/>
            <w:shd w:val="clear" w:color="auto" w:fill="auto"/>
          </w:tcPr>
          <w:p w:rsidR="0028734D" w:rsidRDefault="00AB4778">
            <w:pPr>
              <w:jc w:val="center"/>
            </w:pPr>
            <w:r>
              <w:t xml:space="preserve">0.9859</w:t>
            </w:r>
          </w:p>
        </w:tc>
        <w:tc>
          <w:tcPr>
            <w:tcW w:w="1400" w:type="dxa"/>
            <w:shd w:val="clear" w:color="auto" w:fill="auto"/>
          </w:tcPr>
          <w:p w:rsidR="0028734D" w:rsidRDefault="00AB4778">
            <w:pPr>
              <w:jc w:val="center"/>
            </w:pPr>
            <w:r>
              <w:t xml:space="preserve">46.8</w:t>
            </w:r>
          </w:p>
        </w:tc>
      </w:tr>
      <w:tr w:rsidR="0028734D">
        <w:tc>
          <w:tcPr>
            <w:tcW w:w="800" w:type="dxa"/>
            <w:shd w:val="clear" w:color="auto" w:fill="auto"/>
          </w:tcPr>
          <w:p w:rsidR="0028734D" w:rsidRDefault="00AB4778">
            <w:pPr>
              <w:jc w:val="center"/>
            </w:pPr>
            <w:r>
              <w:t xml:space="preserve">Cr</w:t>
            </w:r>
          </w:p>
        </w:tc>
        <w:tc>
          <w:tcPr>
            <w:tcW w:w="1500" w:type="dxa"/>
            <w:shd w:val="clear" w:color="auto" w:fill="auto"/>
          </w:tcPr>
          <w:p w:rsidR="0028734D" w:rsidRDefault="00AB4778">
            <w:pPr>
              <w:jc w:val="center"/>
            </w:pPr>
            <w:r>
              <w:rPr>
                <w:b/>
                <w:bCs/>
              </w:rPr>
              <w:t xml:space="preserve">MLR*</w:t>
            </w:r>
          </w:p>
        </w:tc>
        <w:tc>
          <w:tcPr>
            <w:tcW w:w="1200" w:type="dxa"/>
            <w:shd w:val="clear" w:color="auto" w:fill="auto"/>
          </w:tcPr>
          <w:p w:rsidR="0028734D" w:rsidRDefault="00AB4778">
            <w:pPr>
              <w:jc w:val="center"/>
            </w:pPr>
            <w:r>
              <w:rPr>
                <w:b/>
                <w:bCs/>
              </w:rPr>
              <w:t xml:space="preserve">1.0798*</w:t>
            </w:r>
          </w:p>
        </w:tc>
        <w:tc>
          <w:tcPr>
            <w:tcW w:w="1200" w:type="dxa"/>
            <w:shd w:val="clear" w:color="auto" w:fill="auto"/>
          </w:tcPr>
          <w:p w:rsidR="0028734D" w:rsidRDefault="00AB4778">
            <w:pPr>
              <w:jc w:val="center"/>
            </w:pPr>
            <w:r>
              <w:rPr>
                <w:b/>
                <w:bCs/>
              </w:rPr>
              <w:t xml:space="preserve">0.8654*</w:t>
            </w:r>
          </w:p>
        </w:tc>
        <w:tc>
          <w:tcPr>
            <w:tcW w:w="1000" w:type="dxa"/>
            <w:shd w:val="clear" w:color="auto" w:fill="auto"/>
          </w:tcPr>
          <w:p w:rsidR="0028734D" w:rsidRDefault="00AB4778">
            <w:pPr>
              <w:jc w:val="center"/>
            </w:pPr>
            <w:r>
              <w:rPr>
                <w:b/>
                <w:bCs/>
              </w:rPr>
              <w:t xml:space="preserve">0.9938*</w:t>
            </w:r>
          </w:p>
        </w:tc>
        <w:tc>
          <w:tcPr>
            <w:tcW w:w="1400" w:type="dxa"/>
            <w:shd w:val="clear" w:color="auto" w:fill="auto"/>
          </w:tcPr>
          <w:p w:rsidR="0028734D" w:rsidRDefault="00AB4778">
            <w:pPr>
              <w:jc w:val="center"/>
            </w:pPr>
            <w:r>
              <w:rPr>
                <w:b/>
                <w:bCs/>
              </w:rPr>
              <w:t xml:space="preserve">2.5</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t xml:space="preserve">MLR-bagging</w:t>
            </w:r>
          </w:p>
        </w:tc>
        <w:tc>
          <w:tcPr>
            <w:tcW w:w="1200" w:type="dxa"/>
            <w:shd w:val="clear" w:color="auto" w:fill="auto"/>
          </w:tcPr>
          <w:p w:rsidR="0028734D" w:rsidRDefault="00AB4778">
            <w:pPr>
              <w:jc w:val="center"/>
            </w:pPr>
            <w:r>
              <w:t xml:space="preserve">1.2089</w:t>
            </w:r>
          </w:p>
        </w:tc>
        <w:tc>
          <w:tcPr>
            <w:tcW w:w="1200" w:type="dxa"/>
            <w:shd w:val="clear" w:color="auto" w:fill="auto"/>
          </w:tcPr>
          <w:p w:rsidR="0028734D" w:rsidRDefault="00AB4778">
            <w:pPr>
              <w:jc w:val="center"/>
            </w:pPr>
            <w:r>
              <w:t xml:space="preserve">0.9830</w:t>
            </w:r>
          </w:p>
        </w:tc>
        <w:tc>
          <w:tcPr>
            <w:tcW w:w="1000" w:type="dxa"/>
            <w:shd w:val="clear" w:color="auto" w:fill="auto"/>
          </w:tcPr>
          <w:p w:rsidR="0028734D" w:rsidRDefault="00AB4778">
            <w:pPr>
              <w:jc w:val="center"/>
            </w:pPr>
            <w:r>
              <w:t xml:space="preserve">0.9922</w:t>
            </w:r>
          </w:p>
        </w:tc>
        <w:tc>
          <w:tcPr>
            <w:tcW w:w="1400" w:type="dxa"/>
            <w:shd w:val="clear" w:color="auto" w:fill="auto"/>
          </w:tcPr>
          <w:p w:rsidR="0028734D" w:rsidRDefault="00AB4778">
            <w:pPr>
              <w:jc w:val="center"/>
            </w:pPr>
            <w:r>
              <w:t xml:space="preserve">44.5</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t xml:space="preserve">MLR-subagging</w:t>
            </w:r>
          </w:p>
        </w:tc>
        <w:tc>
          <w:tcPr>
            <w:tcW w:w="1200" w:type="dxa"/>
            <w:shd w:val="clear" w:color="auto" w:fill="auto"/>
          </w:tcPr>
          <w:p w:rsidR="0028734D" w:rsidRDefault="00AB4778">
            <w:pPr>
              <w:jc w:val="center"/>
            </w:pPr>
            <w:r>
              <w:t xml:space="preserve">1.1294</w:t>
            </w:r>
          </w:p>
        </w:tc>
        <w:tc>
          <w:tcPr>
            <w:tcW w:w="1200" w:type="dxa"/>
            <w:shd w:val="clear" w:color="auto" w:fill="auto"/>
          </w:tcPr>
          <w:p w:rsidR="0028734D" w:rsidRDefault="00AB4778">
            <w:pPr>
              <w:jc w:val="center"/>
            </w:pPr>
            <w:r>
              <w:t xml:space="preserve">0.9010</w:t>
            </w:r>
          </w:p>
        </w:tc>
        <w:tc>
          <w:tcPr>
            <w:tcW w:w="1000" w:type="dxa"/>
            <w:shd w:val="clear" w:color="auto" w:fill="auto"/>
          </w:tcPr>
          <w:p w:rsidR="0028734D" w:rsidRDefault="00AB4778">
            <w:pPr>
              <w:jc w:val="center"/>
            </w:pPr>
            <w:r>
              <w:t xml:space="preserve">0.9932</w:t>
            </w:r>
          </w:p>
        </w:tc>
        <w:tc>
          <w:tcPr>
            <w:tcW w:w="1400" w:type="dxa"/>
            <w:shd w:val="clear" w:color="auto" w:fill="auto"/>
          </w:tcPr>
          <w:p w:rsidR="0028734D" w:rsidRDefault="00AB4778">
            <w:pPr>
              <w:jc w:val="center"/>
            </w:pPr>
            <w:r>
              <w:t xml:space="preserve">46.8</w:t>
            </w:r>
          </w:p>
        </w:tc>
      </w:tr>
      <w:tr w:rsidR="0028734D">
        <w:tc>
          <w:tcPr>
            <w:tcW w:w="800" w:type="dxa"/>
            <w:shd w:val="clear" w:color="auto" w:fill="auto"/>
          </w:tcPr>
          <w:p w:rsidR="0028734D" w:rsidRDefault="00AB4778">
            <w:pPr>
              <w:jc w:val="center"/>
            </w:pPr>
            <w:r>
              <w:t xml:space="preserve">Ni</w:t>
            </w:r>
          </w:p>
        </w:tc>
        <w:tc>
          <w:tcPr>
            <w:tcW w:w="1500" w:type="dxa"/>
            <w:shd w:val="clear" w:color="auto" w:fill="auto"/>
          </w:tcPr>
          <w:p w:rsidR="0028734D" w:rsidRDefault="00AB4778">
            <w:pPr>
              <w:jc w:val="center"/>
            </w:pPr>
            <w:r>
              <w:t xml:space="preserve">MLR</w:t>
            </w:r>
          </w:p>
        </w:tc>
        <w:tc>
          <w:tcPr>
            <w:tcW w:w="1200" w:type="dxa"/>
            <w:shd w:val="clear" w:color="auto" w:fill="auto"/>
          </w:tcPr>
          <w:p w:rsidR="0028734D" w:rsidRDefault="00AB4778">
            <w:pPr>
              <w:jc w:val="center"/>
            </w:pPr>
            <w:r>
              <w:t xml:space="preserve">1.6043</w:t>
            </w:r>
          </w:p>
        </w:tc>
        <w:tc>
          <w:tcPr>
            <w:tcW w:w="1200" w:type="dxa"/>
            <w:shd w:val="clear" w:color="auto" w:fill="auto"/>
          </w:tcPr>
          <w:p w:rsidR="0028734D" w:rsidRDefault="00AB4778">
            <w:pPr>
              <w:jc w:val="center"/>
            </w:pPr>
            <w:r>
              <w:t xml:space="preserve">1.3256</w:t>
            </w:r>
          </w:p>
        </w:tc>
        <w:tc>
          <w:tcPr>
            <w:tcW w:w="1000" w:type="dxa"/>
            <w:shd w:val="clear" w:color="auto" w:fill="auto"/>
          </w:tcPr>
          <w:p w:rsidR="0028734D" w:rsidRDefault="00AB4778">
            <w:pPr>
              <w:jc w:val="center"/>
            </w:pPr>
            <w:r>
              <w:t xml:space="preserve">0.9837</w:t>
            </w:r>
          </w:p>
        </w:tc>
        <w:tc>
          <w:tcPr>
            <w:tcW w:w="1400" w:type="dxa"/>
            <w:shd w:val="clear" w:color="auto" w:fill="auto"/>
          </w:tcPr>
          <w:p w:rsidR="0028734D" w:rsidRDefault="00AB4778">
            <w:pPr>
              <w:jc w:val="center"/>
            </w:pPr>
            <w:r>
              <w:t xml:space="preserve">2.3</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rPr>
                <w:b/>
                <w:bCs/>
              </w:rPr>
              <w:t xml:space="preserve">MLR-subagging*</w:t>
            </w:r>
          </w:p>
        </w:tc>
        <w:tc>
          <w:tcPr>
            <w:tcW w:w="1200" w:type="dxa"/>
            <w:shd w:val="clear" w:color="auto" w:fill="auto"/>
          </w:tcPr>
          <w:p w:rsidR="0028734D" w:rsidRDefault="00AB4778">
            <w:pPr>
              <w:jc w:val="center"/>
            </w:pPr>
            <w:r>
              <w:rPr>
                <w:b/>
                <w:bCs/>
              </w:rPr>
              <w:t xml:space="preserve">1.6003*</w:t>
            </w:r>
          </w:p>
        </w:tc>
        <w:tc>
          <w:tcPr>
            <w:tcW w:w="1200" w:type="dxa"/>
            <w:shd w:val="clear" w:color="auto" w:fill="auto"/>
          </w:tcPr>
          <w:p w:rsidR="0028734D" w:rsidRDefault="00AB4778">
            <w:pPr>
              <w:jc w:val="center"/>
            </w:pPr>
            <w:r>
              <w:rPr>
                <w:b/>
                <w:bCs/>
              </w:rPr>
              <w:t xml:space="preserve">1.2409*</w:t>
            </w:r>
          </w:p>
        </w:tc>
        <w:tc>
          <w:tcPr>
            <w:tcW w:w="1000" w:type="dxa"/>
            <w:shd w:val="clear" w:color="auto" w:fill="auto"/>
          </w:tcPr>
          <w:p w:rsidR="0028734D" w:rsidRDefault="00AB4778">
            <w:pPr>
              <w:jc w:val="center"/>
            </w:pPr>
            <w:r>
              <w:rPr>
                <w:b/>
                <w:bCs/>
              </w:rPr>
              <w:t xml:space="preserve">0.9838*</w:t>
            </w:r>
          </w:p>
        </w:tc>
        <w:tc>
          <w:tcPr>
            <w:tcW w:w="1400" w:type="dxa"/>
            <w:shd w:val="clear" w:color="auto" w:fill="auto"/>
          </w:tcPr>
          <w:p w:rsidR="0028734D" w:rsidRDefault="00AB4778">
            <w:pPr>
              <w:jc w:val="center"/>
            </w:pPr>
            <w:r>
              <w:rPr>
                <w:b/>
                <w:bCs/>
              </w:rPr>
              <w:t xml:space="preserve">10.6</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t xml:space="preserve">MLR-bagging</w:t>
            </w:r>
          </w:p>
        </w:tc>
        <w:tc>
          <w:tcPr>
            <w:tcW w:w="1200" w:type="dxa"/>
            <w:shd w:val="clear" w:color="auto" w:fill="auto"/>
          </w:tcPr>
          <w:p w:rsidR="0028734D" w:rsidRDefault="00AB4778">
            <w:pPr>
              <w:jc w:val="center"/>
            </w:pPr>
            <w:r>
              <w:t xml:space="preserve">1.7085</w:t>
            </w:r>
          </w:p>
        </w:tc>
        <w:tc>
          <w:tcPr>
            <w:tcW w:w="1200" w:type="dxa"/>
            <w:shd w:val="clear" w:color="auto" w:fill="auto"/>
          </w:tcPr>
          <w:p w:rsidR="0028734D" w:rsidRDefault="00AB4778">
            <w:pPr>
              <w:jc w:val="center"/>
            </w:pPr>
            <w:r>
              <w:t xml:space="preserve">1.4122</w:t>
            </w:r>
          </w:p>
        </w:tc>
        <w:tc>
          <w:tcPr>
            <w:tcW w:w="1000" w:type="dxa"/>
            <w:shd w:val="clear" w:color="auto" w:fill="auto"/>
          </w:tcPr>
          <w:p w:rsidR="0028734D" w:rsidRDefault="00AB4778">
            <w:pPr>
              <w:jc w:val="center"/>
            </w:pPr>
            <w:r>
              <w:t xml:space="preserve">0.9815</w:t>
            </w:r>
          </w:p>
        </w:tc>
        <w:tc>
          <w:tcPr>
            <w:tcW w:w="1400" w:type="dxa"/>
            <w:shd w:val="clear" w:color="auto" w:fill="auto"/>
          </w:tcPr>
          <w:p w:rsidR="0028734D" w:rsidRDefault="00AB4778">
            <w:pPr>
              <w:jc w:val="center"/>
            </w:pPr>
            <w:r>
              <w:t xml:space="preserve">66.6</w:t>
            </w:r>
          </w:p>
        </w:tc>
      </w:tr>
      <w:tr w:rsidR="0028734D">
        <w:tc>
          <w:tcPr>
            <w:tcW w:w="800" w:type="dxa"/>
            <w:shd w:val="clear" w:color="auto" w:fill="auto"/>
          </w:tcPr>
          <w:p w:rsidR="0028734D" w:rsidRDefault="00AB4778">
            <w:pPr>
              <w:jc w:val="center"/>
            </w:pPr>
            <w:r>
              <w:t xml:space="preserve">Fe</w:t>
            </w:r>
          </w:p>
        </w:tc>
        <w:tc>
          <w:tcPr>
            <w:tcW w:w="1500" w:type="dxa"/>
            <w:shd w:val="clear" w:color="auto" w:fill="auto"/>
          </w:tcPr>
          <w:p w:rsidR="0028734D" w:rsidRDefault="00AB4778">
            <w:pPr>
              <w:jc w:val="center"/>
            </w:pPr>
            <w:r>
              <w:t xml:space="preserve">MLR</w:t>
            </w:r>
          </w:p>
        </w:tc>
        <w:tc>
          <w:tcPr>
            <w:tcW w:w="1200" w:type="dxa"/>
            <w:shd w:val="clear" w:color="auto" w:fill="auto"/>
          </w:tcPr>
          <w:p w:rsidR="0028734D" w:rsidRDefault="00AB4778">
            <w:pPr>
              <w:jc w:val="center"/>
            </w:pPr>
            <w:r>
              <w:t xml:space="preserve">2.7513</w:t>
            </w:r>
          </w:p>
        </w:tc>
        <w:tc>
          <w:tcPr>
            <w:tcW w:w="1200" w:type="dxa"/>
            <w:shd w:val="clear" w:color="auto" w:fill="auto"/>
          </w:tcPr>
          <w:p w:rsidR="0028734D" w:rsidRDefault="00AB4778">
            <w:pPr>
              <w:jc w:val="center"/>
            </w:pPr>
            <w:r>
              <w:t xml:space="preserve">2.1865</w:t>
            </w:r>
          </w:p>
        </w:tc>
        <w:tc>
          <w:tcPr>
            <w:tcW w:w="1000" w:type="dxa"/>
            <w:shd w:val="clear" w:color="auto" w:fill="auto"/>
          </w:tcPr>
          <w:p w:rsidR="0028734D" w:rsidRDefault="00AB4778">
            <w:pPr>
              <w:jc w:val="center"/>
            </w:pPr>
            <w:r>
              <w:t xml:space="preserve">0.9892</w:t>
            </w:r>
          </w:p>
        </w:tc>
        <w:tc>
          <w:tcPr>
            <w:tcW w:w="1400" w:type="dxa"/>
            <w:shd w:val="clear" w:color="auto" w:fill="auto"/>
          </w:tcPr>
          <w:p w:rsidR="0028734D" w:rsidRDefault="00AB4778">
            <w:pPr>
              <w:jc w:val="center"/>
            </w:pPr>
            <w:r>
              <w:t xml:space="preserve">13.5</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rPr>
                <w:b/>
                <w:bCs/>
              </w:rPr>
              <w:t xml:space="preserve">MLR-bagging*</w:t>
            </w:r>
          </w:p>
        </w:tc>
        <w:tc>
          <w:tcPr>
            <w:tcW w:w="1200" w:type="dxa"/>
            <w:shd w:val="clear" w:color="auto" w:fill="auto"/>
          </w:tcPr>
          <w:p w:rsidR="0028734D" w:rsidRDefault="00AB4778">
            <w:pPr>
              <w:jc w:val="center"/>
            </w:pPr>
            <w:r>
              <w:rPr>
                <w:b/>
                <w:bCs/>
              </w:rPr>
              <w:t xml:space="preserve">2.6406*</w:t>
            </w:r>
          </w:p>
        </w:tc>
        <w:tc>
          <w:tcPr>
            <w:tcW w:w="1200" w:type="dxa"/>
            <w:shd w:val="clear" w:color="auto" w:fill="auto"/>
          </w:tcPr>
          <w:p w:rsidR="0028734D" w:rsidRDefault="00AB4778">
            <w:pPr>
              <w:jc w:val="center"/>
            </w:pPr>
            <w:r>
              <w:rPr>
                <w:b/>
                <w:bCs/>
              </w:rPr>
              <w:t xml:space="preserve">2.0246*</w:t>
            </w:r>
          </w:p>
        </w:tc>
        <w:tc>
          <w:tcPr>
            <w:tcW w:w="1000" w:type="dxa"/>
            <w:shd w:val="clear" w:color="auto" w:fill="auto"/>
          </w:tcPr>
          <w:p w:rsidR="0028734D" w:rsidRDefault="00AB4778">
            <w:pPr>
              <w:jc w:val="center"/>
            </w:pPr>
            <w:r>
              <w:rPr>
                <w:b/>
                <w:bCs/>
              </w:rPr>
              <w:t xml:space="preserve">0.9900*</w:t>
            </w:r>
          </w:p>
        </w:tc>
        <w:tc>
          <w:tcPr>
            <w:tcW w:w="1400" w:type="dxa"/>
            <w:shd w:val="clear" w:color="auto" w:fill="auto"/>
          </w:tcPr>
          <w:p w:rsidR="0028734D" w:rsidRDefault="00AB4778">
            <w:pPr>
              <w:jc w:val="center"/>
            </w:pPr>
            <w:r>
              <w:rPr>
                <w:b/>
                <w:bCs/>
              </w:rPr>
              <w:t xml:space="preserve">97.2</w:t>
            </w:r>
          </w:p>
        </w:tc>
      </w:tr>
      <w:tr w:rsidR="0028734D">
        <w:tc>
          <w:tcPr>
            <w:tcW w:w="800" w:type="dxa"/>
            <w:shd w:val="clear" w:color="auto" w:fill="auto"/>
          </w:tcPr>
          <w:p w:rsidR="0028734D" w:rsidRDefault="00AB4778">
            <w:pPr>
              <w:jc w:val="center"/>
            </w:pPr>
            <w:r>
              <w:t xml:space="preserve"/>
            </w:r>
          </w:p>
        </w:tc>
        <w:tc>
          <w:tcPr>
            <w:tcW w:w="1500" w:type="dxa"/>
            <w:shd w:val="clear" w:color="auto" w:fill="auto"/>
          </w:tcPr>
          <w:p w:rsidR="0028734D" w:rsidRDefault="00AB4778">
            <w:pPr>
              <w:jc w:val="center"/>
            </w:pPr>
            <w:r>
              <w:t xml:space="preserve">MLR-subagging</w:t>
            </w:r>
          </w:p>
        </w:tc>
        <w:tc>
          <w:tcPr>
            <w:tcW w:w="1200" w:type="dxa"/>
            <w:shd w:val="clear" w:color="auto" w:fill="auto"/>
          </w:tcPr>
          <w:p w:rsidR="0028734D" w:rsidRDefault="00AB4778">
            <w:pPr>
              <w:jc w:val="center"/>
            </w:pPr>
            <w:r>
              <w:t xml:space="preserve">2.6509</w:t>
            </w:r>
          </w:p>
        </w:tc>
        <w:tc>
          <w:tcPr>
            <w:tcW w:w="1200" w:type="dxa"/>
            <w:shd w:val="clear" w:color="auto" w:fill="auto"/>
          </w:tcPr>
          <w:p w:rsidR="0028734D" w:rsidRDefault="00AB4778">
            <w:pPr>
              <w:jc w:val="center"/>
            </w:pPr>
            <w:r>
              <w:t xml:space="preserve">2.0578</w:t>
            </w:r>
          </w:p>
        </w:tc>
        <w:tc>
          <w:tcPr>
            <w:tcW w:w="1000" w:type="dxa"/>
            <w:shd w:val="clear" w:color="auto" w:fill="auto"/>
          </w:tcPr>
          <w:p w:rsidR="0028734D" w:rsidRDefault="00AB4778">
            <w:pPr>
              <w:jc w:val="center"/>
            </w:pPr>
            <w:r>
              <w:t xml:space="preserve">0.9900</w:t>
            </w:r>
          </w:p>
        </w:tc>
        <w:tc>
          <w:tcPr>
            <w:tcW w:w="1400" w:type="dxa"/>
            <w:shd w:val="clear" w:color="auto" w:fill="auto"/>
          </w:tcPr>
          <w:p w:rsidR="0028734D" w:rsidRDefault="00AB4778">
            <w:pPr>
              <w:jc w:val="center"/>
            </w:pPr>
            <w:r>
              <w:t xml:space="preserve">41.2</w:t>
            </w:r>
          </w:p>
        </w:tc>
      </w:tr>
    </w:tbl>
    <w:p w:rsidR="0028734D" w:rsidRDefault="00AB4778">
      <w:pPr>
        <w:spacing w:before="40" w:after="80"/>
        <w:jc w:val="center"/>
      </w:pPr>
      <w:r>
        <w:rPr>
          <w:sz w:val="18"/>
          <w:szCs w:val="18"/>
        </w:rPr>
        <w:t>MLR-subagging: k* = 80% (Mn, Mo, Cr, Fe), 60% (Ni). MLR-bagging: m* = 30 (all). MLR-subagging m*: 10 (Mn, Ni), 30 (Mo, Cr, Fe).</w:t>
      </w:r>
    </w:p>
    <w:p w:rsidR="0028734D" w:rsidRDefault="00AB4778">
      <w:pPr>
        <w:spacing w:line="480" w:lineRule="auto"/>
        <w:ind w:firstLine="720"/>
        <w:jc w:val="both"/>
      </w:pPr>
      <w:r>
        <w:t xml:space="preserve">The results indicate that no single technique universally dominates across all analytes. The superior performance of classical MLR for Mo and Cr suggests that their specific emission lines in this dataset suffer from minimal spectral interference, allowing a simple, low-variance linear model to suffice. Conversely, the spectral complexity of Fe likely introduces higher multicollinearity, where the variance-reduction property of bagging provides a distinct predictive advantage.</w:t>
      </w:r>
    </w:p>
    <w:p w:rsidR="0028734D" w:rsidRDefault="00AB4778">
      <w:pPr>
        <w:spacing w:before="120" w:after="40"/>
      </w:pPr>
      <w:r>
        <w:rPr>
          <w:b/>
          <w:bCs/>
          <w:i/>
          <w:iCs/>
        </w:rPr>
        <w:t>Sensitivity to bootstrap replications</w:t>
      </w:r>
    </w:p>
    <w:p w:rsidR="0028734D" w:rsidRDefault="00AB4778">
      <w:pPr>
        <w:spacing w:line="480" w:lineRule="auto"/>
        <w:ind w:firstLine="720"/>
        <w:jc w:val="both"/>
      </w:pPr>
      <w:r>
        <w:t xml:space="preserve">For Mn, the RMSEP stabilized after approximately 15–20 bagging replicates. For Fe, oscillations persisted even at 50 replicates, suggesting greater spectral complexity and/or sensitivity to the specific composition of the calibration samples. MLR-subagging with </w:t>
      </w:r>
      <w:r>
        <w:rPr>
          <w:i/>
          <w:iCs/>
        </w:rPr>
        <w:t xml:space="preserve">k*</w:t>
      </w:r>
      <w:r>
        <w:t xml:space="preserve"> = 80% proved optimal for four of the five elements, indicating that larger subsamples favor model stability in this high-dimensionality, small-sample regime.</w:t>
      </w:r>
      <w:r>
        <w:rPr>
          <w:vertAlign w:val="superscript"/>
        </w:rPr>
        <w:t>21, 25, 33</w:t>
      </w:r>
    </w:p>
    <w:p w:rsidR="0028734D" w:rsidRDefault="00AB4778">
      <w:pPr>
        <w:spacing w:before="120" w:after="40"/>
      </w:pPr>
      <w:r>
        <w:rPr>
          <w:b/>
          <w:bCs/>
          <w:i/>
          <w:iCs/>
        </w:rPr>
        <w:t>Computational efficiency</w:t>
      </w:r>
    </w:p>
    <w:p w:rsidR="0028734D" w:rsidRDefault="00AB4778">
      <w:pPr>
        <w:spacing w:line="480" w:lineRule="auto"/>
        <w:ind w:firstLine="720"/>
        <w:jc w:val="both"/>
      </w:pPr>
      <w:r>
        <w:t xml:space="preserve">While classical MLR is undeniably the fastest method (averaging ~2.4 ms per prediction), its predictive accuracy is element-dependent and lacks robustness for complex analytes like Fe. MLR-bagging, while improving accuracy for Fe, incurs a significant computational overhead due to the generation of full-size bootstrap samples (averaging ~68 ms).</w:t>
      </w:r>
    </w:p>
    <w:p w:rsidR="0028734D" w:rsidRDefault="00AB4778">
      <w:pPr>
        <w:spacing w:line="480" w:lineRule="auto"/>
        <w:ind w:firstLine="720"/>
        <w:jc w:val="both"/>
      </w:pPr>
      <w:r>
        <w:t xml:space="preserve">MLR-subagging emerges as the optimal compromise. By utilizing a subset of the data (</w:t>
      </w:r>
      <w:r>
        <w:rPr>
          <w:i/>
          <w:iCs/>
        </w:rPr>
        <w:t xml:space="preserve">k*</w:t>
      </w:r>
      <w:r>
        <w:t xml:space="preserve"> = 80%), it achieves predictive performance equal to or better than bagging for Mn and Ni, but at roughly one-third of the computational cost (e.g., 17.1 ms for Mn vs. 68.2 ms for bagging). This drastic reduction in processing time, without sacrificing predictive power, makes MLR-subagging a highly viable strategy for near real-time industrial quality control applications where both accuracy and processing speed are critical constraints.</w:t>
      </w:r>
    </w:p>
    <w:p w:rsidR="0028734D" w:rsidRDefault="00AB4778">
      <w:pPr>
        <w:spacing w:before="200" w:after="60"/>
      </w:pPr>
      <w:r>
        <w:rPr>
          <w:b/>
          <w:bCs/>
          <w:caps/>
        </w:rPr>
        <w:t>Conclusions</w:t>
      </w:r>
    </w:p>
    <w:p w:rsidR="0028734D" w:rsidRDefault="00AB4778">
      <w:pPr>
        <w:spacing w:line="480" w:lineRule="auto"/>
        <w:ind w:firstLine="720"/>
        <w:jc w:val="both"/>
      </w:pPr>
      <w:r>
        <w:t xml:space="preserve">This study demonstrates that no single resampling technique universally outperforms the others across all steel alloy analytes. MLR-subagging is recommended for Mn and Ni, offering improved accuracy and computational efficiency relative to MLR-bagging. MLR-bagging is preferred for Fe, where spectral complexity makes multi-model aggregation advantageous. For Mo and Cr, classical MLR remains the most appropriate choice due to its simplicity and low computational cost.</w:t>
      </w:r>
      <w:r>
        <w:rPr>
          <w:vertAlign w:val="superscript"/>
        </w:rPr>
        <w:t>22, 29, 46</w:t>
      </w:r>
    </w:p>
    <w:p w:rsidR="0028734D" w:rsidRDefault="00AB4778">
      <w:pPr>
        <w:spacing w:line="480" w:lineRule="auto"/>
        <w:ind w:firstLine="720"/>
        <w:jc w:val="both"/>
      </w:pPr>
      <w:r>
        <w:t xml:space="preserve">Overall, MLR-subagging emerges as the most balanced alternative between predictive precision and efficiency (approximately 3.0× faster than bagging on average), constituting a robust strategy for chemometric applications subject to time constraints.</w:t>
      </w:r>
      <w:r>
        <w:rPr>
          <w:vertAlign w:val="superscript"/>
        </w:rPr>
        <w:t>5, 21, 33</w:t>
      </w:r>
      <w:r>
        <w:t xml:space="preserve"> Future work should focus on validating these ensemble MLR models in real-time, on-line industrial monitoring scenarios, and expanding the dataset to include a wider variety of steel grades to further stress-test the models against complex spectral interferences.</w:t>
      </w:r>
    </w:p>
    <w:p w:rsidR="0028734D" w:rsidRDefault="00AB4778">
      <w:pPr>
        <w:spacing w:before="200" w:after="60"/>
      </w:pPr>
      <w:r>
        <w:rPr>
          <w:b/>
          <w:bCs/>
          <w:caps/>
        </w:rPr>
        <w:t>Acknowledgments</w:t>
      </w:r>
    </w:p>
    <w:p w:rsidR="0028734D" w:rsidRDefault="00AB4778">
      <w:pPr>
        <w:spacing w:line="480" w:lineRule="auto"/>
        <w:ind w:firstLine="720"/>
        <w:jc w:val="both"/>
      </w:pPr>
      <w:r>
        <w:t xml:space="preserve">The authors thank the Instituto Federal de Goiás (IFG), Campus Anápolis, for institutional support. No external funding was received for this research.</w:t>
      </w:r>
    </w:p>
    <w:p w:rsidR="0028734D" w:rsidRDefault="00AB4778">
      <w:pPr>
        <w:spacing w:before="200" w:after="60"/>
      </w:pPr>
      <w:r>
        <w:rPr>
          <w:b/>
          <w:bCs/>
          <w:caps/>
        </w:rPr>
        <w:t>References</w:t>
      </w:r>
    </w:p>
    <w:p w:rsidR="0028734D" w:rsidRDefault="00AB4778">
      <w:pPr>
        <w:spacing w:after="40"/>
        <w:ind w:hanging="360" w:left="360"/>
      </w:pPr>
      <w:r>
        <w:t xml:space="preserve">1. Skoog, D. A.; Holler, F. J.; Nieman, T. A. Principles of Instrumental Analysis, 5th ed.; Brooks Cole: USA, 1997.</w:t>
      </w:r>
    </w:p>
    <w:p w:rsidR="0028734D" w:rsidRDefault="00AB4778">
      <w:pPr>
        <w:spacing w:after="40"/>
        <w:ind w:hanging="360" w:left="360"/>
      </w:pPr>
      <w:r>
        <w:t xml:space="preserve">2. Hardle, W.; Simar, L. Applied Multivariate Statistical Analysis, 2nd ed.; Springer-Verlag: Berlin, Germany, 2007.</w:t>
      </w:r>
    </w:p>
    <w:p w:rsidR="0028734D" w:rsidRDefault="00AB4778">
      <w:pPr>
        <w:spacing w:after="40"/>
        <w:ind w:hanging="360" w:left="360"/>
      </w:pPr>
      <w:r>
        <w:t xml:space="preserve">3. Timm, N. H. Applied Multivariate Analysis; Springer-Verlag: Berlin, Germany, 2002.</w:t>
      </w:r>
    </w:p>
    <w:p w:rsidR="0028734D" w:rsidRDefault="00AB4778">
      <w:pPr>
        <w:spacing w:after="40"/>
        <w:ind w:hanging="360" w:left="360"/>
      </w:pPr>
      <w:r>
        <w:t xml:space="preserve">4. Canty, A. J.; Davison, A. C. J. R. Stat. Soc. Ser. D Stat. 2001. DOI: 10.1111/1467-9884.00196.</w:t>
      </w:r>
    </w:p>
    <w:p w:rsidR="0028734D" w:rsidRDefault="00AB4778">
      <w:pPr>
        <w:spacing w:after="40"/>
        <w:ind w:hanging="360" w:left="360"/>
      </w:pPr>
      <w:r>
        <w:t xml:space="preserve">5. Rathnayake, S.; Olive, D. DiVA Portal 2022, n. 1669623.</w:t>
      </w:r>
    </w:p>
    <w:p w:rsidR="0028734D" w:rsidRDefault="00AB4778">
      <w:pPr>
        <w:spacing w:after="40"/>
        <w:ind w:hanging="360" w:left="360"/>
      </w:pPr>
      <w:r>
        <w:t xml:space="preserve">6. Draper, N. R.; Smith, H. Applied Regression Analysis, 3rd ed.; John Wiley &amp; Sons: USA, 1998.</w:t>
      </w:r>
    </w:p>
    <w:p w:rsidR="0028734D" w:rsidRDefault="00AB4778">
      <w:pPr>
        <w:spacing w:after="40"/>
        <w:ind w:hanging="360" w:left="360"/>
      </w:pPr>
      <w:r>
        <w:t xml:space="preserve">7. Alin, A.; Serneels, S. J. Chemom. 2017, 31, e2881.</w:t>
      </w:r>
    </w:p>
    <w:p w:rsidR="0028734D" w:rsidRDefault="00AB4778">
      <w:pPr>
        <w:spacing w:after="40"/>
        <w:ind w:hanging="360" w:left="360"/>
      </w:pPr>
      <w:r>
        <w:t xml:space="preserve">8. Filzmoser, P.; Nordhausen, K. Chemom. Intell. Lab. Syst. 2013, 130, 98.</w:t>
      </w:r>
    </w:p>
    <w:p w:rsidR="0028734D" w:rsidRDefault="00AB4778">
      <w:pPr>
        <w:spacing w:after="40"/>
        <w:ind w:hanging="360" w:left="360"/>
      </w:pPr>
      <w:r>
        <w:t xml:space="preserve">9. Johnson, R. A.; Wichern, D. W. Applied Multivariate Statistical Analysis, 5th ed.; Prentice Hall: USA, 2001.</w:t>
      </w:r>
    </w:p>
    <w:p w:rsidR="0028734D" w:rsidRDefault="00AB4778">
      <w:pPr>
        <w:spacing w:after="40"/>
        <w:ind w:hanging="360" w:left="360"/>
      </w:pPr>
      <w:r>
        <w:t xml:space="preserve">10. Chatterjee, S.; Hadi, A. S. Regression Analysis by Example, 4th ed.; John Wiley &amp; Sons: USA, 2006.</w:t>
      </w:r>
    </w:p>
    <w:p w:rsidR="0028734D" w:rsidRDefault="00AB4778">
      <w:pPr>
        <w:spacing w:after="40"/>
        <w:ind w:hanging="360" w:left="360"/>
      </w:pPr>
      <w:r>
        <w:t xml:space="preserve">11. Yeon, H.; Dai, X.; Nordman, D. J. Bernoulli 2023, 29, 2599.</w:t>
      </w:r>
    </w:p>
    <w:p w:rsidR="0028734D" w:rsidRDefault="00AB4778">
      <w:pPr>
        <w:spacing w:after="40"/>
        <w:ind w:hanging="360" w:left="360"/>
      </w:pPr>
      <w:r>
        <w:t xml:space="preserve">12. Alfons, A.; Ates, N. Y.; Groenen, P. J. F. Organ. Res. Methods 2022, 25, 591.</w:t>
      </w:r>
    </w:p>
    <w:p w:rsidR="0028734D" w:rsidRDefault="00AB4778">
      <w:pPr>
        <w:spacing w:after="40"/>
        <w:ind w:hanging="360" w:left="360"/>
      </w:pPr>
      <w:r>
        <w:t xml:space="preserve">13. Wan, Y. et al. Proc. Mach. Learn. Res. 2023, 202, 1.</w:t>
      </w:r>
    </w:p>
    <w:p w:rsidR="0028734D" w:rsidRDefault="00AB4778">
      <w:pPr>
        <w:spacing w:after="40"/>
        <w:ind w:hanging="360" w:left="360"/>
      </w:pPr>
      <w:r>
        <w:t xml:space="preserve">14. Du, J.-H. et al. J. Comput. Graph. Stat. 2024, 33, 1061.</w:t>
      </w:r>
    </w:p>
    <w:p w:rsidR="0028734D" w:rsidRDefault="00AB4778">
      <w:pPr>
        <w:spacing w:after="40"/>
        <w:ind w:hanging="360" w:left="360"/>
      </w:pPr>
      <w:r>
        <w:t xml:space="preserve">15. Jensen, V.; Bianchi, F. M.; Anfinsen, S. N. IEEE Trans. Neural Netw. Learn. Syst. 2024, 35, 9014.</w:t>
      </w:r>
    </w:p>
    <w:p w:rsidR="0028734D" w:rsidRDefault="00AB4778">
      <w:pPr>
        <w:spacing w:after="40"/>
        <w:ind w:hanging="360" w:left="360"/>
      </w:pPr>
      <w:r>
        <w:t xml:space="preserve">16. Efron, B. The Jackknife, the Bootstrap and Other Resampling Plans; Society for Industrial and Applied Mathematics: USA, 1994.</w:t>
      </w:r>
    </w:p>
    <w:p w:rsidR="0028734D" w:rsidRDefault="00AB4778">
      <w:pPr>
        <w:spacing w:after="40"/>
        <w:ind w:hanging="360" w:left="360"/>
      </w:pPr>
      <w:r>
        <w:t xml:space="preserve">17. Efron, B.; Tibshirani, R. J. An Introduction to the Bootstrap; Chapman &amp; Hall/CRC: USA, 1993.</w:t>
      </w:r>
    </w:p>
    <w:p w:rsidR="0028734D" w:rsidRDefault="00AB4778">
      <w:pPr>
        <w:spacing w:after="40"/>
        <w:ind w:hanging="360" w:left="360"/>
      </w:pPr>
      <w:r>
        <w:t xml:space="preserve">18. Efron, B.; Tibshirani, R. J. J. Am. Stat. Assoc. 1997, 92, 548.</w:t>
      </w:r>
    </w:p>
    <w:p w:rsidR="0028734D" w:rsidRDefault="00AB4778">
      <w:pPr>
        <w:spacing w:after="40"/>
        <w:ind w:hanging="360" w:left="360"/>
      </w:pPr>
      <w:r>
        <w:t xml:space="preserve">19. Fernandez, J. M. V.; Manteiga, W. G. Comput. Stat. Data Anal. 1999, 35, 211.</w:t>
      </w:r>
    </w:p>
    <w:p w:rsidR="0028734D" w:rsidRDefault="00AB4778">
      <w:pPr>
        <w:spacing w:after="40"/>
        <w:ind w:hanging="360" w:left="360"/>
      </w:pPr>
      <w:r>
        <w:t xml:space="preserve">20. Opitz, D.; Maclin, R. J. Artif. Intell. Res. 1999, 11, 169.</w:t>
      </w:r>
    </w:p>
    <w:p w:rsidR="0028734D" w:rsidRDefault="00AB4778">
      <w:pPr>
        <w:spacing w:after="40"/>
        <w:ind w:hanging="360" w:left="360"/>
      </w:pPr>
      <w:r>
        <w:t xml:space="preserve">21. Galvao, R. K. H.; Araujo, M. C. U.; Jose, G. E.; Pontes, M. J. C.; Silva, E. C.; Saldanha, T. C. B. Chemom. Intell. Lab. Syst. 2006, 81, 60.</w:t>
      </w:r>
    </w:p>
    <w:p w:rsidR="0028734D" w:rsidRDefault="00AB4778">
      <w:pPr>
        <w:spacing w:after="40"/>
        <w:ind w:hanging="360" w:left="360"/>
      </w:pPr>
      <w:r>
        <w:t xml:space="preserve">22. Liu, Y. et al. J. Chemom. 2025, 39, e70036.</w:t>
      </w:r>
    </w:p>
    <w:p w:rsidR="0028734D" w:rsidRDefault="00AB4778">
      <w:pPr>
        <w:spacing w:after="40"/>
        <w:ind w:hanging="360" w:left="360"/>
      </w:pPr>
      <w:r>
        <w:t xml:space="preserve">23. Mishra, P.; Liland, K. H. J. Chemom. 2023, e3527.</w:t>
      </w:r>
    </w:p>
    <w:p w:rsidR="0028734D" w:rsidRDefault="00AB4778">
      <w:pPr>
        <w:spacing w:after="40"/>
        <w:ind w:hanging="360" w:left="360"/>
      </w:pPr>
      <w:r>
        <w:t xml:space="preserve">24. Styawan et al. Food Res. 2024. DOI: 10.26656/fr.2017.8(3).165.</w:t>
      </w:r>
    </w:p>
    <w:p w:rsidR="0028734D" w:rsidRDefault="00AB4778">
      <w:pPr>
        <w:spacing w:after="40"/>
        <w:ind w:hanging="360" w:left="360"/>
      </w:pPr>
      <w:r>
        <w:t xml:space="preserve">25. Breiman, L. Mach. Learn. 1996, 24, 123.</w:t>
      </w:r>
    </w:p>
    <w:p w:rsidR="0028734D" w:rsidRDefault="00AB4778">
      <w:pPr>
        <w:spacing w:after="40"/>
        <w:ind w:hanging="360" w:left="360"/>
      </w:pPr>
      <w:r>
        <w:t xml:space="preserve">26. Shabbir, M.; Chand, S.; Iqbal, F. Commun. Stat. Simul. Comput. 2024, 53, 3653.</w:t>
      </w:r>
    </w:p>
    <w:p w:rsidR="0028734D" w:rsidRDefault="00AB4778">
      <w:pPr>
        <w:spacing w:after="40"/>
        <w:ind w:hanging="360" w:left="360"/>
      </w:pPr>
      <w:r>
        <w:t xml:space="preserve">27. Hong, H.; Liu, J.; Zhu, A.-X. Sci. Total Environ. 2020, 718, 137231.</w:t>
      </w:r>
    </w:p>
    <w:p w:rsidR="0028734D" w:rsidRDefault="00AB4778">
      <w:pPr>
        <w:spacing w:after="40"/>
        <w:ind w:hanging="360" w:left="360"/>
      </w:pPr>
      <w:r>
        <w:t xml:space="preserve">28. Zhao, N. et al. Front. Chem. 2018, 6, 262.</w:t>
      </w:r>
    </w:p>
    <w:p w:rsidR="0028734D" w:rsidRDefault="00AB4778">
      <w:pPr>
        <w:spacing w:after="40"/>
        <w:ind w:hanging="360" w:left="360"/>
      </w:pPr>
      <w:r>
        <w:t xml:space="preserve">29. Kumari, M. V. et al. Int. J. Pharm. Pharm. Sci. 2024, 9.</w:t>
      </w:r>
    </w:p>
    <w:p w:rsidR="0028734D" w:rsidRDefault="00AB4778">
      <w:pPr>
        <w:spacing w:after="40"/>
        <w:ind w:hanging="360" w:left="360"/>
      </w:pPr>
      <w:r>
        <w:t xml:space="preserve">30. Martins, M. N. Transferência de calibração de instrumentos para análise espectrometrica empregando seleção de variáveis, reamostagem e combinação de modelos; Dissertação de Mestrado, ITA: São José dos Campos, 2006.</w:t>
      </w:r>
    </w:p>
    <w:p w:rsidR="0028734D" w:rsidRDefault="00AB4778">
      <w:pPr>
        <w:spacing w:after="40"/>
        <w:ind w:hanging="360" w:left="360"/>
      </w:pPr>
      <w:r>
        <w:t xml:space="preserve">31. Bauer, E.; Kohavi, R. Mach. Learn. 1999, 36, 105.</w:t>
      </w:r>
    </w:p>
    <w:p w:rsidR="0028734D" w:rsidRDefault="00AB4778">
      <w:pPr>
        <w:spacing w:after="40"/>
        <w:ind w:hanging="360" w:left="360"/>
      </w:pPr>
      <w:r>
        <w:t xml:space="preserve">32. Breiman, L. Mach. Learn. 2001, 45, 261.</w:t>
      </w:r>
    </w:p>
    <w:p w:rsidR="0028734D" w:rsidRDefault="00AB4778">
      <w:pPr>
        <w:spacing w:after="40"/>
        <w:ind w:hanging="360" w:left="360"/>
      </w:pPr>
      <w:r>
        <w:t xml:space="preserve">33. Buhlmann, P. Bagging, Subagging and Bragging for Improving some Prediction Algorithms; Technical Report, ETH Zurich, 2003.</w:t>
      </w:r>
    </w:p>
    <w:p w:rsidR="0028734D" w:rsidRDefault="00AB4778">
      <w:pPr>
        <w:spacing w:after="40"/>
        <w:ind w:hanging="360" w:left="360"/>
      </w:pPr>
      <w:r>
        <w:t xml:space="preserve">34. Revelas, C.; Boldea, O.; Werker, B. J. M. arXiv 2024, 2404.01832.</w:t>
      </w:r>
    </w:p>
    <w:p w:rsidR="0028734D" w:rsidRDefault="00AB4778">
      <w:pPr>
        <w:spacing w:after="40"/>
        <w:ind w:hanging="360" w:left="360"/>
      </w:pPr>
      <w:r>
        <w:t xml:space="preserve">35. Qin, T.; Huang, W.-M. arXiv 2023, 2311.02827.</w:t>
      </w:r>
    </w:p>
    <w:p w:rsidR="0028734D" w:rsidRDefault="00AB4778">
      <w:pPr>
        <w:spacing w:after="40"/>
        <w:ind w:hanging="360" w:left="360"/>
      </w:pPr>
      <w:r>
        <w:t xml:space="preserve">36. Zhao, Y.; Amemiya, Y.; Hung, Y. Stat. Sin. 2018, 28, 1459.</w:t>
      </w:r>
    </w:p>
    <w:p w:rsidR="0028734D" w:rsidRDefault="00AB4778">
      <w:pPr>
        <w:spacing w:after="40"/>
        <w:ind w:hanging="360" w:left="360"/>
      </w:pPr>
      <w:r>
        <w:t xml:space="preserve">37. Shi, C.; Lu, W.; Song, R. J. Mach. Learn. Res. 2021, 22, 1.</w:t>
      </w:r>
    </w:p>
    <w:p w:rsidR="0028734D" w:rsidRDefault="00AB4778">
      <w:pPr>
        <w:spacing w:after="40"/>
        <w:ind w:hanging="360" w:left="360"/>
      </w:pPr>
      <w:r>
        <w:t xml:space="preserve">38. Zhang, C. et al. Chemom. Intell. Lab. Syst. 2017, 161, 43.</w:t>
      </w:r>
    </w:p>
    <w:p w:rsidR="0028734D" w:rsidRDefault="00AB4778">
      <w:pPr>
        <w:spacing w:after="40"/>
        <w:ind w:hanging="360" w:left="360"/>
      </w:pPr>
      <w:r>
        <w:t xml:space="preserve">39. Tao, X. et al. IEEE Trans. Dependable Secur. Comput. 2021, 19, 2456.</w:t>
      </w:r>
    </w:p>
    <w:p w:rsidR="0028734D" w:rsidRDefault="00AB4778">
      <w:pPr>
        <w:spacing w:after="40"/>
        <w:ind w:hanging="360" w:left="360"/>
      </w:pPr>
      <w:r>
        <w:t xml:space="preserve">40. Paleologo, G.; Elisseeff, A.; Antonini, G. Eur. J. Oper. Res. 2020, 201, 490.</w:t>
      </w:r>
    </w:p>
    <w:p w:rsidR="0028734D" w:rsidRDefault="00AB4778">
      <w:pPr>
        <w:spacing w:after="40"/>
        <w:ind w:hanging="360" w:left="360"/>
      </w:pPr>
      <w:r>
        <w:t xml:space="preserve">41. Wei, Y. Wellesley College Thesis, 2021.</w:t>
      </w:r>
    </w:p>
    <w:p w:rsidR="0028734D" w:rsidRDefault="00AB4778">
      <w:pPr>
        <w:spacing w:after="40"/>
        <w:ind w:hanging="360" w:left="360"/>
      </w:pPr>
      <w:r>
        <w:t xml:space="preserve">42. Ing, C.-K.; Lai, T. L. Electron. J. Stat. 2016, 10, 121.</w:t>
      </w:r>
    </w:p>
    <w:p w:rsidR="0028734D" w:rsidRDefault="00AB4778">
      <w:pPr>
        <w:spacing w:after="40"/>
        <w:ind w:hanging="360" w:left="360"/>
      </w:pPr>
      <w:r>
        <w:t xml:space="preserve">43. Pimentel, M. F.; Galvao, R. K. H.; Araujo, M. C. U.; Pontes, M. J. C. J. Autom. Chem. 1998, 20, 69.</w:t>
      </w:r>
    </w:p>
    <w:p w:rsidR="0028734D" w:rsidRDefault="00AB4778">
      <w:pPr>
        <w:spacing w:after="40"/>
        <w:ind w:hanging="360" w:left="360"/>
      </w:pPr>
      <w:r>
        <w:t xml:space="preserve">44. Kramer, R. Chemometric Techniques for Quantitative Analysis; CRC Press: USA, 1998.</w:t>
      </w:r>
    </w:p>
    <w:p w:rsidR="0028734D" w:rsidRDefault="00AB4778">
      <w:pPr>
        <w:spacing w:after="40"/>
        <w:ind w:hanging="360" w:left="360"/>
      </w:pPr>
      <w:r>
        <w:t xml:space="preserve">45. Martens, H.; Naes, T. Multivariate Calibration; John Wiley &amp; Sons: USA, 1989.</w:t>
      </w:r>
    </w:p>
    <w:p w:rsidR="0028734D" w:rsidRDefault="00AB4778">
      <w:pPr>
        <w:spacing w:after="40"/>
        <w:ind w:hanging="360" w:left="360"/>
      </w:pPr>
      <w:r>
        <w:t xml:space="preserve">46. Westad, F.; Flaten, G. R. Front. Anal. Sci. 2024, 4, 1393222.</w:t>
      </w:r>
    </w:p>
    <w:p w:rsidR="0028734D" w:rsidRDefault="00AB4778">
      <w:pPr>
        <w:spacing w:after="40"/>
        <w:ind w:hanging="360" w:left="360"/>
      </w:pPr>
      <w:r>
        <w:t xml:space="preserve">47. Peris-Diaz, M. D.; Krezel, A. TrAC Trends Anal. Chem. 2021, 135, 116157.</w:t>
      </w:r>
    </w:p>
    <w:p w:rsidR="0028734D" w:rsidRDefault="00AB4778">
      <w:pPr>
        <w:spacing w:after="40"/>
        <w:ind w:hanging="360" w:left="360"/>
      </w:pPr>
      <w:r>
        <w:t xml:space="preserve">48. Hodson, T. O. Geosci. Model Dev. 2022, 15, 5481.</w:t>
      </w:r>
    </w:p>
    <w:p w:rsidR="0028734D" w:rsidRDefault="00AB4778">
      <w:pPr>
        <w:spacing w:after="40"/>
        <w:ind w:hanging="360" w:left="360"/>
      </w:pPr>
      <w:r>
        <w:t xml:space="preserve">49. Ezenarro, J.; Schorn-Garcia, D. J. Chemom. 2025, 39, e70036.</w:t>
      </w:r>
    </w:p>
    <w:sectPr w:rsidR="005B493F">
      <w:headerReference w:type="default" r:id="rId8"/>
      <w:footerReference w:type="default" r:id="rId9"/>
      <w:pgSz w:w="11906" w:h="16838"/>
      <w:pgMar w:top="1440" w:right="1800" w:bottom="1440" w:left="1800" w:header="708" w:footer="708" w:gutter="0"/>
      <w:cols w:space="720"/>
      <w:formProt w:val="0"/>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0D15" w:rsidRDefault="00020D15">
      <w:r>
        <w:separator/>
      </w:r>
    </w:p>
  </w:endnote>
  <w:endnote w:type="continuationSeparator" w:id="0">
    <w:p w:rsidR="00020D15" w:rsidRDefault="00020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1002A87" w:usb1="00000000" w:usb2="00000000" w:usb3="00000000" w:csb0="000100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AB4778">
    <w:pPr>
      <w:jc w:val="center"/>
    </w:pPr>
    <w:r>
      <w:rPr>
        <w:i/>
        <w:iCs/>
        <w:sz w:val="20"/>
        <w:szCs w:val="20"/>
      </w:rPr>
      <w:t xml:space="preserve">J. Braz. </w:t>
    </w:r>
    <w:proofErr w:type="spellStart"/>
    <w:r>
      <w:rPr>
        <w:i/>
        <w:iCs/>
        <w:sz w:val="20"/>
        <w:szCs w:val="20"/>
      </w:rPr>
      <w:t>Chem</w:t>
    </w:r>
    <w:proofErr w:type="spellEnd"/>
    <w:r>
      <w:rPr>
        <w:i/>
        <w:iCs/>
        <w:sz w:val="20"/>
        <w:szCs w:val="20"/>
      </w:rPr>
      <w:t>. Soc.</w:t>
    </w:r>
    <w:proofErr w:type="gramStart"/>
    <w:r>
      <w:rPr>
        <w:sz w:val="20"/>
        <w:szCs w:val="20"/>
      </w:rPr>
      <w:t xml:space="preserve">  </w:t>
    </w:r>
    <w:proofErr w:type="gramEnd"/>
    <w:r>
      <w:rPr>
        <w:sz w:val="20"/>
        <w:szCs w:val="20"/>
      </w:rPr>
      <w:t xml:space="preserve">|  </w:t>
    </w:r>
    <w:r>
      <w:rPr>
        <w:sz w:val="20"/>
        <w:szCs w:val="20"/>
      </w:rPr>
      <w:fldChar w:fldCharType="begin"/>
    </w:r>
    <w:r>
      <w:instrText>PAGE</w:instrText>
    </w:r>
    <w:r>
      <w:fldChar w:fldCharType="separate"/>
    </w:r>
    <w:r w:rsidR="005972CE">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0D15" w:rsidRDefault="00020D15">
      <w:r>
        <w:separator/>
      </w:r>
    </w:p>
  </w:footnote>
  <w:footnote w:type="continuationSeparator" w:id="0">
    <w:p w:rsidR="00020D15" w:rsidRDefault="00020D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AB4778">
    <w:pPr>
      <w:jc w:val="right"/>
    </w:pPr>
    <w:proofErr w:type="spellStart"/>
    <w:r>
      <w:rPr>
        <w:i/>
        <w:iCs/>
        <w:sz w:val="20"/>
        <w:szCs w:val="20"/>
      </w:rPr>
      <w:t>Araujo</w:t>
    </w:r>
    <w:proofErr w:type="spellEnd"/>
    <w:r>
      <w:rPr>
        <w:i/>
        <w:iCs/>
        <w:sz w:val="20"/>
        <w:szCs w:val="20"/>
      </w:rPr>
      <w:t xml:space="preserve">, W. O. </w:t>
    </w:r>
    <w:proofErr w:type="gramStart"/>
    <w:r>
      <w:rPr>
        <w:i/>
        <w:iCs/>
        <w:sz w:val="20"/>
        <w:szCs w:val="20"/>
      </w:rPr>
      <w:t>de</w:t>
    </w:r>
    <w:proofErr w:type="gramEnd"/>
    <w:r>
      <w:rPr>
        <w:i/>
        <w:iCs/>
        <w:sz w:val="20"/>
        <w:szCs w:val="20"/>
      </w:rPr>
      <w:t>; Silva, C. 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28734D"/>
    <w:rsid w:val="00020D15"/>
    <w:rsid w:val="0028734D"/>
    <w:rsid w:val="00414985"/>
    <w:rsid w:val="00443E25"/>
    <w:rsid w:val="00512E43"/>
    <w:rsid w:val="005972CE"/>
    <w:rsid w:val="005B493F"/>
    <w:rsid w:val="006C20F0"/>
    <w:rsid w:val="00AB4778"/>
    <w:rsid w:val="00E47A5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paragraph" w:styleId="Ttulo1">
    <w:name w:val="heading 1"/>
    <w:basedOn w:val="Ttulo"/>
    <w:qFormat/>
    <w:pPr>
      <w:outlineLvl w:val="0"/>
    </w:pPr>
    <w:rPr>
      <w:color w:val="2E74B5"/>
      <w:sz w:val="32"/>
      <w:szCs w:val="32"/>
    </w:rPr>
  </w:style>
  <w:style w:type="paragraph" w:styleId="Ttulo2">
    <w:name w:val="heading 2"/>
    <w:basedOn w:val="Ttulo"/>
    <w:qFormat/>
    <w:pPr>
      <w:outlineLvl w:val="1"/>
    </w:pPr>
    <w:rPr>
      <w:color w:val="2E74B5"/>
      <w:sz w:val="26"/>
      <w:szCs w:val="26"/>
    </w:rPr>
  </w:style>
  <w:style w:type="paragraph" w:styleId="Ttulo3">
    <w:name w:val="heading 3"/>
    <w:basedOn w:val="Ttulo"/>
    <w:qFormat/>
    <w:pPr>
      <w:outlineLvl w:val="2"/>
    </w:pPr>
    <w:rPr>
      <w:color w:val="1F4D78"/>
      <w:sz w:val="24"/>
      <w:szCs w:val="24"/>
    </w:rPr>
  </w:style>
  <w:style w:type="paragraph" w:styleId="Ttulo4">
    <w:name w:val="heading 4"/>
    <w:basedOn w:val="Ttulo"/>
    <w:qFormat/>
    <w:pPr>
      <w:outlineLvl w:val="3"/>
    </w:pPr>
    <w:rPr>
      <w:i/>
      <w:iCs/>
      <w:color w:val="2E74B5"/>
    </w:rPr>
  </w:style>
  <w:style w:type="paragraph" w:styleId="Ttulo5">
    <w:name w:val="heading 5"/>
    <w:basedOn w:val="Ttulo"/>
    <w:qFormat/>
    <w:pPr>
      <w:outlineLvl w:val="4"/>
    </w:pPr>
    <w:rPr>
      <w:color w:val="2E74B5"/>
    </w:rPr>
  </w:style>
  <w:style w:type="paragraph" w:styleId="Ttulo6">
    <w:name w:val="heading 6"/>
    <w:basedOn w:val="Ttulo"/>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nkdaInternet">
    <w:name w:val="Link da Internet"/>
    <w:uiPriority w:val="99"/>
    <w:unhideWhenUsed/>
    <w:rPr>
      <w:color w:val="0563C1"/>
      <w:u w:val="single"/>
    </w:rPr>
  </w:style>
  <w:style w:type="character" w:styleId="Refdenotaderodap">
    <w:name w:val="footnote reference"/>
    <w:uiPriority w:val="99"/>
    <w:semiHidden/>
    <w:unhideWhenUsed/>
    <w:qFormat/>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styleId="Refdenotadefim">
    <w:name w:val="endnote reference"/>
    <w:uiPriority w:val="99"/>
    <w:semiHidden/>
    <w:unhideWhenUsed/>
    <w:qFormat/>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paragraph" w:styleId="Ttulo">
    <w:name w:val="Title"/>
    <w:basedOn w:val="Normal"/>
    <w:next w:val="Corpodetexto"/>
    <w:qFormat/>
    <w:rPr>
      <w:sz w:val="56"/>
      <w:szCs w:val="56"/>
    </w:rPr>
  </w:style>
  <w:style w:type="paragraph" w:styleId="Corpodetexto">
    <w:name w:val="Body Text"/>
    <w:basedOn w:val="Normal"/>
    <w:pPr>
      <w:spacing w:after="140" w:line="288"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Forte1">
    <w:name w:val="Forte1"/>
    <w:qFormat/>
    <w:pPr>
      <w:widowControl w:val="0"/>
    </w:pPr>
    <w:rPr>
      <w:b/>
      <w:bCs/>
    </w:rPr>
  </w:style>
  <w:style w:type="paragraph" w:styleId="PargrafodaLista">
    <w:name w:val="List Paragraph"/>
    <w:qFormat/>
    <w:pPr>
      <w:widowControl w:val="0"/>
    </w:pPr>
  </w:style>
  <w:style w:type="paragraph" w:styleId="Textodenotaderodap">
    <w:name w:val="footnote text"/>
    <w:link w:val="TextodenotaderodapChar"/>
    <w:uiPriority w:val="99"/>
    <w:semiHidden/>
    <w:unhideWhenUsed/>
    <w:qFormat/>
    <w:pPr>
      <w:widowControl w:val="0"/>
    </w:pPr>
    <w:rPr>
      <w:sz w:val="20"/>
      <w:szCs w:val="20"/>
    </w:rPr>
  </w:style>
  <w:style w:type="paragraph" w:styleId="Textodenotadefim">
    <w:name w:val="endnote text"/>
    <w:link w:val="TextodenotadefimChar"/>
    <w:uiPriority w:val="99"/>
    <w:semiHidden/>
    <w:unhideWhenUsed/>
    <w:qFormat/>
    <w:pPr>
      <w:widowControl w:val="0"/>
    </w:pPr>
    <w:rPr>
      <w:sz w:val="20"/>
      <w:szCs w:val="20"/>
    </w:rPr>
  </w:style>
  <w:style w:type="paragraph" w:styleId="Cabealho">
    <w:name w:val="header"/>
    <w:basedOn w:val="Normal"/>
  </w:style>
  <w:style w:type="paragraph" w:styleId="Rodap">
    <w:name w:val="footer"/>
    <w:basedOn w:val="Normal"/>
  </w:style>
  <w:style w:type="paragraph" w:styleId="Textodebalo">
    <w:name w:val="Balloon Text"/>
    <w:basedOn w:val="Normal"/>
    <w:link w:val="TextodebaloChar"/>
    <w:uiPriority w:val="99"/>
    <w:semiHidden/>
    <w:unhideWhenUsed/>
    <w:rsid w:val="005972CE"/>
    <w:rPr>
      <w:rFonts w:ascii="Tahoma" w:hAnsi="Tahoma" w:cs="Mangal"/>
      <w:sz w:val="16"/>
      <w:szCs w:val="14"/>
    </w:rPr>
  </w:style>
  <w:style w:type="character" w:customStyle="1" w:styleId="TextodebaloChar">
    <w:name w:val="Texto de balão Char"/>
    <w:basedOn w:val="Fontepargpadro"/>
    <w:link w:val="Textodebalo"/>
    <w:uiPriority w:val="99"/>
    <w:semiHidden/>
    <w:rsid w:val="005972CE"/>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paragraph" w:styleId="Ttulo1">
    <w:name w:val="heading 1"/>
    <w:basedOn w:val="Ttulo"/>
    <w:qFormat/>
    <w:pPr>
      <w:outlineLvl w:val="0"/>
    </w:pPr>
    <w:rPr>
      <w:color w:val="2E74B5"/>
      <w:sz w:val="32"/>
      <w:szCs w:val="32"/>
    </w:rPr>
  </w:style>
  <w:style w:type="paragraph" w:styleId="Ttulo2">
    <w:name w:val="heading 2"/>
    <w:basedOn w:val="Ttulo"/>
    <w:qFormat/>
    <w:pPr>
      <w:outlineLvl w:val="1"/>
    </w:pPr>
    <w:rPr>
      <w:color w:val="2E74B5"/>
      <w:sz w:val="26"/>
      <w:szCs w:val="26"/>
    </w:rPr>
  </w:style>
  <w:style w:type="paragraph" w:styleId="Ttulo3">
    <w:name w:val="heading 3"/>
    <w:basedOn w:val="Ttulo"/>
    <w:qFormat/>
    <w:pPr>
      <w:outlineLvl w:val="2"/>
    </w:pPr>
    <w:rPr>
      <w:color w:val="1F4D78"/>
      <w:sz w:val="24"/>
      <w:szCs w:val="24"/>
    </w:rPr>
  </w:style>
  <w:style w:type="paragraph" w:styleId="Ttulo4">
    <w:name w:val="heading 4"/>
    <w:basedOn w:val="Ttulo"/>
    <w:qFormat/>
    <w:pPr>
      <w:outlineLvl w:val="3"/>
    </w:pPr>
    <w:rPr>
      <w:i/>
      <w:iCs/>
      <w:color w:val="2E74B5"/>
    </w:rPr>
  </w:style>
  <w:style w:type="paragraph" w:styleId="Ttulo5">
    <w:name w:val="heading 5"/>
    <w:basedOn w:val="Ttulo"/>
    <w:qFormat/>
    <w:pPr>
      <w:outlineLvl w:val="4"/>
    </w:pPr>
    <w:rPr>
      <w:color w:val="2E74B5"/>
    </w:rPr>
  </w:style>
  <w:style w:type="paragraph" w:styleId="Ttulo6">
    <w:name w:val="heading 6"/>
    <w:basedOn w:val="Ttulo"/>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nkdaInternet">
    <w:name w:val="Link da Internet"/>
    <w:uiPriority w:val="99"/>
    <w:unhideWhenUsed/>
    <w:rPr>
      <w:color w:val="0563C1"/>
      <w:u w:val="single"/>
    </w:rPr>
  </w:style>
  <w:style w:type="character" w:styleId="Refdenotaderodap">
    <w:name w:val="footnote reference"/>
    <w:uiPriority w:val="99"/>
    <w:semiHidden/>
    <w:unhideWhenUsed/>
    <w:qFormat/>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styleId="Refdenotadefim">
    <w:name w:val="endnote reference"/>
    <w:uiPriority w:val="99"/>
    <w:semiHidden/>
    <w:unhideWhenUsed/>
    <w:qFormat/>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paragraph" w:styleId="Ttulo">
    <w:name w:val="Title"/>
    <w:basedOn w:val="Normal"/>
    <w:next w:val="Corpodetexto"/>
    <w:qFormat/>
    <w:rPr>
      <w:sz w:val="56"/>
      <w:szCs w:val="56"/>
    </w:rPr>
  </w:style>
  <w:style w:type="paragraph" w:styleId="Corpodetexto">
    <w:name w:val="Body Text"/>
    <w:basedOn w:val="Normal"/>
    <w:pPr>
      <w:spacing w:after="140" w:line="288"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Forte1">
    <w:name w:val="Forte1"/>
    <w:qFormat/>
    <w:pPr>
      <w:widowControl w:val="0"/>
    </w:pPr>
    <w:rPr>
      <w:b/>
      <w:bCs/>
    </w:rPr>
  </w:style>
  <w:style w:type="paragraph" w:styleId="PargrafodaLista">
    <w:name w:val="List Paragraph"/>
    <w:qFormat/>
    <w:pPr>
      <w:widowControl w:val="0"/>
    </w:pPr>
  </w:style>
  <w:style w:type="paragraph" w:styleId="Textodenotaderodap">
    <w:name w:val="footnote text"/>
    <w:link w:val="TextodenotaderodapChar"/>
    <w:uiPriority w:val="99"/>
    <w:semiHidden/>
    <w:unhideWhenUsed/>
    <w:qFormat/>
    <w:pPr>
      <w:widowControl w:val="0"/>
    </w:pPr>
    <w:rPr>
      <w:sz w:val="20"/>
      <w:szCs w:val="20"/>
    </w:rPr>
  </w:style>
  <w:style w:type="paragraph" w:styleId="Textodenotadefim">
    <w:name w:val="endnote text"/>
    <w:link w:val="TextodenotadefimChar"/>
    <w:uiPriority w:val="99"/>
    <w:semiHidden/>
    <w:unhideWhenUsed/>
    <w:qFormat/>
    <w:pPr>
      <w:widowControl w:val="0"/>
    </w:pPr>
    <w:rPr>
      <w:sz w:val="20"/>
      <w:szCs w:val="20"/>
    </w:rPr>
  </w:style>
  <w:style w:type="paragraph" w:styleId="Cabealho">
    <w:name w:val="header"/>
    <w:basedOn w:val="Normal"/>
  </w:style>
  <w:style w:type="paragraph" w:styleId="Rodap">
    <w:name w:val="footer"/>
    <w:basedOn w:val="Normal"/>
  </w:style>
  <w:style w:type="paragraph" w:styleId="Textodebalo">
    <w:name w:val="Balloon Text"/>
    <w:basedOn w:val="Normal"/>
    <w:link w:val="TextodebaloChar"/>
    <w:uiPriority w:val="99"/>
    <w:semiHidden/>
    <w:unhideWhenUsed/>
    <w:rsid w:val="005972CE"/>
    <w:rPr>
      <w:rFonts w:ascii="Tahoma" w:hAnsi="Tahoma" w:cs="Mangal"/>
      <w:sz w:val="16"/>
      <w:szCs w:val="14"/>
    </w:rPr>
  </w:style>
  <w:style w:type="character" w:customStyle="1" w:styleId="TextodebaloChar">
    <w:name w:val="Texto de balão Char"/>
    <w:basedOn w:val="Fontepargpadro"/>
    <w:link w:val="Textodebalo"/>
    <w:uiPriority w:val="99"/>
    <w:semiHidden/>
    <w:rsid w:val="005972CE"/>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JBCS.XSL" StyleName="JBCS - J. Braz. Chem. Soc. (ACS)">
  <b:Source>
    <b:Tag>Skoog1997</b:Tag>
    <b:SourceType>Book</b:SourceType>
    <b:Guid>{A0000001-0000-0000-0000-000000000001}</b:Guid>
    <b:Author>
      <b:Author>
        <b:NameList>
          <b:Person>
            <b:Last>Skoog</b:Last>
            <b:First>Douglas A.</b:First>
          </b:Person>
          <b:Person>
            <b:Last>Holler</b:Last>
            <b:First>F. James</b:First>
          </b:Person>
          <b:Person>
            <b:Last>Nieman</b:Last>
            <b:First>Timothy A.</b:First>
          </b:Person>
        </b:NameList>
      </b:Author>
    </b:Author>
    <b:Title>Principles of Instrumental Analysis</b:Title>
    <b:Year>1997</b:Year>
    <b:Edition>5</b:Edition>
    <b:Publisher>Brooks Cole</b:Publisher>
    <b:City>USA</b:City>
    <b:RefOrder>2</b:RefOrder>
  </b:Source>
  <b:Source>
    <b:Tag>Hardle2007</b:Tag>
    <b:SourceType>Book</b:SourceType>
    <b:Guid>{A0000001-0000-0000-0000-000000000002}</b:Guid>
    <b:Author>
      <b:Author>
        <b:NameList>
          <b:Person>
            <b:Last>Hardle</b:Last>
            <b:First>Wolfgang</b:First>
          </b:Person>
          <b:Person>
            <b:Last>Simar</b:Last>
            <b:First>Leopold</b:First>
          </b:Person>
        </b:NameList>
      </b:Author>
    </b:Author>
    <b:Title>Applied Multivariate Statistical Analysis</b:Title>
    <b:Year>2007</b:Year>
    <b:Edition>2</b:Edition>
    <b:Publisher>Springer-Verlag</b:Publisher>
    <b:City>Berlin</b:City>
    <b:RefOrder>3</b:RefOrder>
  </b:Source>
  <b:Source>
    <b:Tag>Timm2002</b:Tag>
    <b:SourceType>Book</b:SourceType>
    <b:Guid>{A0000001-0000-0000-0000-000000000003}</b:Guid>
    <b:Author>
      <b:Author>
        <b:NameList>
          <b:Person>
            <b:Last>Timm</b:Last>
            <b:First>Neil H.</b:First>
          </b:Person>
        </b:NameList>
      </b:Author>
    </b:Author>
    <b:Title>Applied Multivariate Analysis</b:Title>
    <b:Year>2002</b:Year>
    <b:Publisher>Springer-Verlag</b:Publisher>
    <b:City>Berlin</b:City>
    <b:RefOrder>4</b:RefOrder>
  </b:Source>
  <b:Source>
    <b:Tag>Canty2001</b:Tag>
    <b:SourceType>JournalArticle</b:SourceType>
    <b:Guid>{A0000001-0000-0000-0000-000000000004}</b:Guid>
    <b:Author>
      <b:Author>
        <b:NameList>
          <b:Person>
            <b:Last>Canty</b:Last>
            <b:First>Angelo J.</b:First>
          </b:Person>
          <b:Person>
            <b:Last>Davison</b:Last>
            <b:First>Anthony C.</b:First>
          </b:Person>
        </b:NameList>
      </b:Author>
    </b:Author>
    <b:Title>Resampling-based variance estimation for labour force surveys</b:Title>
    <b:Year>2001</b:Year>
    <b:JournalName>The Statistician</b:JournalName>
    <b:Volume>50</b:Volume>
    <b:Issue>4</b:Issue>
    <b:RefOrder>5</b:RefOrder>
  </b:Source>
  <b:Source>
    <b:Tag>Rathnayake2022</b:Tag>
    <b:SourceType>Misc</b:SourceType>
    <b:Guid>{A0000001-0000-0000-0000-000000000005}</b:Guid>
    <b:Author>
      <b:Author>
        <b:NameList>
          <b:Person>
            <b:Last>Rathnayake</b:Last>
            <b:First>Shanaka</b:First>
          </b:Person>
          <b:Person>
            <b:Last>Olive</b:Last>
            <b:First>David</b:First>
          </b:Person>
        </b:NameList>
      </b:Author>
    </b:Author>
    <b:Title>Bagged prediction accuracy in linear regression</b:Title>
    <b:Year>2022</b:Year>
    <b:Publisher>DiVA Portal</b:Publisher>
    <b:Issue>n. 1669623</b:Issue>
    <b:RefOrder>6</b:RefOrder>
  </b:Source>
  <b:Source>
    <b:Tag>Draper1998</b:Tag>
    <b:SourceType>Book</b:SourceType>
    <b:Guid>{A0000001-0000-0000-0000-000000000006}</b:Guid>
    <b:Author>
      <b:Author>
        <b:NameList>
          <b:Person>
            <b:Last>Draper</b:Last>
            <b:First>Norman R.</b:First>
          </b:Person>
          <b:Person>
            <b:Last>Smith</b:Last>
            <b:First>Harry</b:First>
          </b:Person>
        </b:NameList>
      </b:Author>
    </b:Author>
    <b:Title>Applied Regression Analysis</b:Title>
    <b:Year>1998</b:Year>
    <b:Edition>3</b:Edition>
    <b:Publisher>John Wiley &amp; Sons</b:Publisher>
    <b:City>USA</b:City>
    <b:RefOrder>7</b:RefOrder>
  </b:Source>
  <b:Source>
    <b:Tag>Alin2017</b:Tag>
    <b:SourceType>JournalArticle</b:SourceType>
    <b:Guid>{A0000001-0000-0000-0000-000000000007}</b:Guid>
    <b:Author>
      <b:Author>
        <b:NameList>
          <b:Person>
            <b:Last>Alin</b:Last>
            <b:First>Aylin</b:First>
          </b:Person>
          <b:Person>
            <b:Last>Serneels</b:Last>
            <b:First>Sven</b:First>
          </b:Person>
        </b:NameList>
      </b:Author>
    </b:Author>
    <b:Title>Robust iteratively reweighted simpls</b:Title>
    <b:Year>2017</b:Year>
    <b:JournalName>Journal of Chemometrics</b:JournalName>
    <b:Volume>31</b:Volume>
    <b:Issue>3</b:Issue>
    <b:Pages>e2881</b:Pages>
    <b:RefOrder>8</b:RefOrder>
  </b:Source>
  <b:Source>
    <b:Tag>Filzmoser2013</b:Tag>
    <b:SourceType>JournalArticle</b:SourceType>
    <b:Guid>{A0000001-0000-0000-0000-000000000008}</b:Guid>
    <b:Author>
      <b:Author>
        <b:NameList>
          <b:Person>
            <b:Last>Filzmoser</b:Last>
            <b:First>Peter</b:First>
          </b:Person>
          <b:Person>
            <b:Last>Nordhausen</b:Last>
            <b:First>Klaus</b:First>
          </b:Person>
        </b:NameList>
      </b:Author>
    </b:Author>
    <b:Title>On robust testing for normality in chemometrics</b:Title>
    <b:Year>2013</b:Year>
    <b:JournalName>Chemometrics and Intelligent Laboratory Systems</b:JournalName>
    <b:Volume>130</b:Volume>
    <b:Pages>98</b:Pages>
    <b:RefOrder>9</b:RefOrder>
  </b:Source>
  <b:Source>
    <b:Tag>Johnson2001</b:Tag>
    <b:SourceType>Book</b:SourceType>
    <b:Guid>{A0000001-0000-0000-0000-000000000009}</b:Guid>
    <b:Author>
      <b:Author>
        <b:NameList>
          <b:Person>
            <b:Last>Johnson</b:Last>
            <b:First>Richard A.</b:First>
          </b:Person>
          <b:Person>
            <b:Last>Wichern</b:Last>
            <b:First>Dean W.</b:First>
          </b:Person>
        </b:NameList>
      </b:Author>
    </b:Author>
    <b:Title>Applied Multivariate Statistical Analysis</b:Title>
    <b:Year>2001</b:Year>
    <b:Edition>5</b:Edition>
    <b:Publisher>Prentice Hall</b:Publisher>
    <b:City>USA</b:City>
    <b:RefOrder>10</b:RefOrder>
  </b:Source>
  <b:Source>
    <b:Tag>Chatterjee2006</b:Tag>
    <b:SourceType>Book</b:SourceType>
    <b:Guid>{A0000001-0000-0000-0000-000000000010}</b:Guid>
    <b:Author>
      <b:Author>
        <b:NameList>
          <b:Person>
            <b:Last>Chatterjee</b:Last>
            <b:First>Samprit</b:First>
          </b:Person>
          <b:Person>
            <b:Last>Hadi</b:Last>
            <b:First>Ali S.</b:First>
          </b:Person>
        </b:NameList>
      </b:Author>
    </b:Author>
    <b:Title>Regression Analysis by Example</b:Title>
    <b:Year>2006</b:Year>
    <b:Edition>4</b:Edition>
    <b:Publisher>John Wiley &amp; Sons</b:Publisher>
    <b:City>USA</b:City>
    <b:RefOrder>11</b:RefOrder>
  </b:Source>
  <b:Source>
    <b:Tag>Yeon2023</b:Tag>
    <b:SourceType>JournalArticle</b:SourceType>
    <b:Guid>{A0000001-0000-0000-0000-000000000011}</b:Guid>
    <b:Author>
      <b:Author>
        <b:NameList>
          <b:Person>
            <b:Last>Yeon</b:Last>
            <b:First>Hyejeong</b:First>
          </b:Person>
          <b:Person>
            <b:Last>Dai</b:Last>
            <b:First>Xiongtao</b:First>
          </b:Person>
          <b:Person>
            <b:Last>Nordman</b:Last>
            <b:First>Daniel J.</b:First>
          </b:Person>
        </b:NameList>
      </b:Author>
    </b:Author>
    <b:Title>Bootstrap inference in functional linear regression models with scalar response</b:Title>
    <b:Year>2023</b:Year>
    <b:JournalName>Bernoulli</b:JournalName>
    <b:Volume>29</b:Volume>
    <b:Issue>4</b:Issue>
    <b:Pages>2599</b:Pages>
    <b:RefOrder>12</b:RefOrder>
  </b:Source>
  <b:Source>
    <b:Tag>Alfons2022</b:Tag>
    <b:SourceType>JournalArticle</b:SourceType>
    <b:Guid>{A0000001-0000-0000-0000-000000000012}</b:Guid>
    <b:Author>
      <b:Author>
        <b:NameList>
          <b:Person>
            <b:Last>Alfons</b:Last>
            <b:First>Andreas</b:First>
          </b:Person>
          <b:Person>
            <b:Last>Ates</b:Last>
            <b:First>Nufer Y.</b:First>
          </b:Person>
          <b:Person>
            <b:Last>Groenen</b:Last>
            <b:First>Patrick J. F.</b:First>
          </b:Person>
        </b:NameList>
      </b:Author>
    </b:Author>
    <b:Title>A robust bootstrap test for mediation analysis</b:Title>
    <b:Year>2022</b:Year>
    <b:JournalName>Organizational Research Methods</b:JournalName>
    <b:Volume>25</b:Volume>
    <b:Issue>3</b:Issue>
    <b:Pages>591</b:Pages>
    <b:RefOrder>1</b:RefOrder>
  </b:Source>
  <b:Source>
    <b:Tag>Wan2023</b:Tag>
    <b:SourceType>JournalArticle</b:SourceType>
    <b:Guid>{A0000001-0000-0000-0000-000000000013}</b:Guid>
    <b:Author>
      <b:Author>
        <b:NameList>
          <b:Person>
            <b:Last>Wan</b:Last>
            <b:First>Yue</b:First>
          </b:Person>
        </b:NameList>
      </b:Author>
    </b:Author>
    <b:Title>Multiplier bootstrap-based exploration</b:Title>
    <b:Year>2023</b:Year>
    <b:JournalName>Proceedings of Machine Learning Research</b:JournalName>
    <b:Volume>202</b:Volume>
    <b:Pages>1</b:Pages>
    <b:RefOrder>13</b:RefOrder>
  </b:Source>
  <b:Source>
    <b:Tag>Du2024</b:Tag>
    <b:SourceType>JournalArticle</b:SourceType>
    <b:Guid>{A0000001-0000-0000-0000-000000000014}</b:Guid>
    <b:Author>
      <b:Author>
        <b:NameList>
          <b:Person>
            <b:Last>Du</b:Last>
            <b:First>Jing-Han</b:First>
          </b:Person>
        </b:NameList>
      </b:Author>
    </b:Author>
    <b:Title>Extrapolated Cross-Validation for Randomized Ensembles</b:Title>
    <b:Year>2024</b:Year>
    <b:JournalName>Journal of Computational and Graphical Statistics</b:JournalName>
    <b:Volume>33</b:Volume>
    <b:Issue>3</b:Issue>
    <b:Pages>1061</b:Pages>
    <b:RefOrder>14</b:RefOrder>
  </b:Source>
  <b:Source>
    <b:Tag>Jensen2024</b:Tag>
    <b:SourceType>JournalArticle</b:SourceType>
    <b:Guid>{A0000001-0000-0000-0000-000000000015}</b:Guid>
    <b:Author>
      <b:Author>
        <b:NameList>
          <b:Person>
            <b:Last>Jensen</b:Last>
            <b:First>Vilde</b:First>
          </b:Person>
          <b:Person>
            <b:Last>Bianchi</b:Last>
            <b:First>Filippo Maria</b:First>
          </b:Person>
          <b:Person>
            <b:Last>Anfinsen</b:Last>
            <b:First>Stian Normann</b:First>
          </b:Person>
        </b:NameList>
      </b:Author>
    </b:Author>
    <b:Title>Ensemble Conformalized Quantile Regression for Probabilistic Time Series Forecasting</b:Title>
    <b:Year>2024</b:Year>
    <b:JournalName>IEEE Transactions on Neural Networks and Learning Systems</b:JournalName>
    <b:Volume>35</b:Volume>
    <b:Issue>7</b:Issue>
    <b:Pages>9014</b:Pages>
    <b:RefOrder>15</b:RefOrder>
  </b:Source>
  <b:Source>
    <b:Tag>Efron1994</b:Tag>
    <b:SourceType>Book</b:SourceType>
    <b:Guid>{A0000001-0000-0000-0000-000000000016}</b:Guid>
    <b:Author>
      <b:Author>
        <b:NameList>
          <b:Person>
            <b:Last>Efron</b:Last>
            <b:First>Bradley</b:First>
          </b:Person>
        </b:NameList>
      </b:Author>
    </b:Author>
    <b:Title>The Jackknife, the Bootstrap and Other Resampling Plans</b:Title>
    <b:Year>1994</b:Year>
    <b:Publisher>Society for Industrial and Applied Mathematics</b:Publisher>
    <b:City>USA</b:City>
    <b:RefOrder>16</b:RefOrder>
  </b:Source>
  <b:Source>
    <b:Tag>Efron1993</b:Tag>
    <b:SourceType>Book</b:SourceType>
    <b:Guid>{A0000001-0000-0000-0000-000000000017}</b:Guid>
    <b:Author>
      <b:Author>
        <b:NameList>
          <b:Person>
            <b:Last>Efron</b:Last>
            <b:First>Bradley</b:First>
          </b:Person>
          <b:Person>
            <b:Last>Tibshirani</b:Last>
            <b:First>Robert J.</b:First>
          </b:Person>
        </b:NameList>
      </b:Author>
    </b:Author>
    <b:Title>An Introduction to the Bootstrap</b:Title>
    <b:Year>1993</b:Year>
    <b:Publisher>Chapman &amp; Hall/CRC</b:Publisher>
    <b:City>USA</b:City>
    <b:RefOrder>17</b:RefOrder>
  </b:Source>
  <b:Source>
    <b:Tag>Efron1997</b:Tag>
    <b:SourceType>JournalArticle</b:SourceType>
    <b:Guid>{A0000001-0000-0000-0000-000000000018}</b:Guid>
    <b:Author>
      <b:Author>
        <b:NameList>
          <b:Person>
            <b:Last>Efron</b:Last>
            <b:First>Bradley</b:First>
          </b:Person>
          <b:Person>
            <b:Last>Tibshirani</b:Last>
            <b:First>Robert J.</b:First>
          </b:Person>
        </b:NameList>
      </b:Author>
    </b:Author>
    <b:Title>Improvements on cross-validation: The .632+ bootstrap method</b:Title>
    <b:Year>1997</b:Year>
    <b:JournalName>Journal of the American Statistical Association</b:JournalName>
    <b:Volume>92</b:Volume>
    <b:Issue>438</b:Issue>
    <b:Pages>548</b:Pages>
    <b:RefOrder>18</b:RefOrder>
  </b:Source>
  <b:Source>
    <b:Tag>Fernandez1999</b:Tag>
    <b:SourceType>JournalArticle</b:SourceType>
    <b:Guid>{A0000001-0000-0000-0000-000000000019}</b:Guid>
    <b:Author>
      <b:Author>
        <b:NameList>
          <b:Person>
            <b:Last>Fernandez</b:Last>
            <b:First>Juan M. V.</b:First>
          </b:Person>
          <b:Person>
            <b:Last>Manteiga</b:Last>
            <b:First>Wenceslao G.</b:First>
          </b:Person>
        </b:NameList>
      </b:Author>
    </b:Author>
    <b:Title>Resampling for checking linear regression models via non-parametric regression estimation</b:Title>
    <b:Year>1999</b:Year>
    <b:JournalName>Computational Statistics &amp; Data Analysis</b:JournalName>
    <b:Volume>35</b:Volume>
    <b:Issue>2</b:Issue>
    <b:Pages>211</b:Pages>
    <b:RefOrder>19</b:RefOrder>
  </b:Source>
  <b:Source>
    <b:Tag>Opitz1999</b:Tag>
    <b:SourceType>JournalArticle</b:SourceType>
    <b:Guid>{A0000001-0000-0000-0000-000000000020}</b:Guid>
    <b:Author>
      <b:Author>
        <b:NameList>
          <b:Person>
            <b:Last>Opitz</b:Last>
            <b:First>David</b:First>
          </b:Person>
          <b:Person>
            <b:Last>Maclin</b:Last>
            <b:First>Richard</b:First>
          </b:Person>
        </b:NameList>
      </b:Author>
    </b:Author>
    <b:Title>Popular ensemble methods: an empirical study</b:Title>
    <b:Year>1999</b:Year>
    <b:JournalName>Journal of Artificial Intelligence Research</b:JournalName>
    <b:Volume>11</b:Volume>
    <b:Pages>169</b:Pages>
    <b:RefOrder>20</b:RefOrder>
  </b:Source>
  <b:Source>
    <b:Tag>Galvao2006</b:Tag>
    <b:SourceType>JournalArticle</b:SourceType>
    <b:Guid>{A0000001-0000-0000-0000-000000000021}</b:Guid>
    <b:Author>
      <b:Author>
        <b:NameList>
          <b:Person>
            <b:Last>Galvao</b:Last>
            <b:First>Roberto K. H.</b:First>
          </b:Person>
          <b:Person>
            <b:Last>Araujo</b:Last>
            <b:First>Mario C. U.</b:First>
          </b:Person>
          <b:Person>
            <b:Last>Jose</b:Last>
            <b:First>Gledson E.</b:First>
          </b:Person>
          <b:Person>
            <b:Last>Pontes</b:Last>
            <b:First>Marcos J. C.</b:First>
          </b:Person>
          <b:Person>
            <b:Last>Silva</b:Last>
            <b:First>Edvan C.</b:First>
          </b:Person>
          <b:Person>
            <b:Last>Saldanha</b:Last>
            <b:First>Tarcisio C. B.</b:First>
          </b:Person>
        </b:NameList>
      </b:Author>
    </b:Author>
    <b:Title>An application of subagging for the improvement of prediction accuracy of multivariate calibration models</b:Title>
    <b:Year>2006</b:Year>
    <b:JournalName>Chemometrics and Intelligent Laboratory Systems</b:JournalName>
    <b:Volume>81</b:Volume>
    <b:Issue>1</b:Issue>
    <b:Pages>60</b:Pages>
    <b:RefOrder>21</b:RefOrder>
  </b:Source>
  <b:Source>
    <b:Tag>Liu2025</b:Tag>
    <b:SourceType>JournalArticle</b:SourceType>
    <b:Guid>{A0000001-0000-0000-0000-000000000022}</b:Guid>
    <b:Author>
      <b:Author>
        <b:NameList>
          <b:Person>
            <b:Last>Liu</b:Last>
            <b:First>Yang</b:First>
          </b:Person>
        </b:NameList>
      </b:Author>
    </b:Author>
    <b:Title>How are chemometric models validated? a systematic review of linear regression models for nirs data in food analysis</b:Title>
    <b:Year>2025</b:Year>
    <b:JournalName>Journal of Chemometrics</b:JournalName>
    <b:Volume>39</b:Volume>
    <b:Issue>5</b:Issue>
    <b:Pages>e70036</b:Pages>
    <b:RefOrder>22</b:RefOrder>
  </b:Source>
  <b:Source>
    <b:Tag>Mishra2023</b:Tag>
    <b:SourceType>JournalArticle</b:SourceType>
    <b:Guid>{A0000001-0000-0000-0000-000000000023}</b:Guid>
    <b:Author>
      <b:Author>
        <b:NameList>
          <b:Person>
            <b:Last>Mishra</b:Last>
            <b:First>Puneet</b:First>
          </b:Person>
          <b:Person>
            <b:Last>Liland</b:Last>
            <b:First>Kristian H.</b:First>
          </b:Person>
        </b:NameList>
      </b:Author>
    </b:Author>
    <b:Title>Iterative re-weighted multilinear partial least squares modelling for robust predictive modelling</b:Title>
    <b:Year>2023</b:Year>
    <b:JournalName>Journal of Chemometrics</b:JournalName>
    <b:Pages>e3527</b:Pages>
    <b:RefOrder>23</b:RefOrder>
  </b:Source>
  <b:Source>
    <b:Tag>Styawan2024</b:Tag>
    <b:SourceType>JournalArticle</b:SourceType>
    <b:Guid>{A0000001-0000-0000-0000-000000000024}</b:Guid>
    <b:Author>
      <b:Author>
        <b:NameList>
          <b:Person>
            <b:Last>Styawan</b:Last>
            <b:First>Styawan</b:First>
          </b:Person>
        </b:NameList>
      </b:Author>
    </b:Author>
    <b:Title>The use of chemometrics in combination with molecular spectroscopy and chromatography methods for determining the levels of gingerol compounds in ginger</b:Title>
    <b:Year>2024</b:Year>
    <b:JournalName>Food Research</b:JournalName>
    <b:Volume>8</b:Volume>
    <b:Issue>3</b:Issue>
    <b:RefOrder>24</b:RefOrder>
  </b:Source>
  <b:Source>
    <b:Tag>Breiman1996</b:Tag>
    <b:SourceType>JournalArticle</b:SourceType>
    <b:Guid>{A0000001-0000-0000-0000-000000000025}</b:Guid>
    <b:Author>
      <b:Author>
        <b:NameList>
          <b:Person>
            <b:Last>Breiman</b:Last>
            <b:First>Leo</b:First>
          </b:Person>
        </b:NameList>
      </b:Author>
    </b:Author>
    <b:Title>Bagging predictors</b:Title>
    <b:Year>1996</b:Year>
    <b:JournalName>Machine Learning</b:JournalName>
    <b:Volume>24</b:Volume>
    <b:Pages>123</b:Pages>
    <b:RefOrder>25</b:RefOrder>
  </b:Source>
  <b:Source>
    <b:Tag>Shabbir2024</b:Tag>
    <b:SourceType>JournalArticle</b:SourceType>
    <b:Guid>{A0000001-0000-0000-0000-000000000026}</b:Guid>
    <b:Author>
      <b:Author>
        <b:NameList>
          <b:Person>
            <b:Last>Shabbir</b:Last>
            <b:First>Maryam</b:First>
          </b:Person>
          <b:Person>
            <b:Last>Chand</b:Last>
            <b:First>Sohail</b:First>
          </b:Person>
          <b:Person>
            <b:Last>Iqbal</b:Last>
            <b:First>Farhat</b:First>
          </b:Person>
        </b:NameList>
      </b:Author>
    </b:Author>
    <b:Title>Bagging-based ridge estimators for a linear regression model with non-normal and heteroscedastic errors</b:Title>
    <b:Year>2024</b:Year>
    <b:JournalName>Communications in Statistics - Simulation and Computation</b:JournalName>
    <b:Volume>53</b:Volume>
    <b:Issue>8</b:Issue>
    <b:Pages>3653</b:Pages>
    <b:RefOrder>26</b:RefOrder>
  </b:Source>
  <b:Source>
    <b:Tag>Hong2020</b:Tag>
    <b:SourceType>JournalArticle</b:SourceType>
    <b:Guid>{A0000001-0000-0000-0000-000000000027}</b:Guid>
    <b:Author>
      <b:Author>
        <b:NameList>
          <b:Person>
            <b:Last>Hong</b:Last>
            <b:First>Haoyuan</b:First>
          </b:Person>
          <b:Person>
            <b:Last>Liu</b:Last>
            <b:First>Junzhi</b:First>
          </b:Person>
          <b:Person>
            <b:Last>Zhu</b:Last>
            <b:First>A-Xing</b:First>
          </b:Person>
        </b:NameList>
      </b:Author>
    </b:Author>
    <b:Title>Modeling landslide susceptibility using logitboost alternating decision trees and forest by penalizing attributes with the bagging ensemble</b:Title>
    <b:Year>2020</b:Year>
    <b:JournalName>Science of The Total Environment</b:JournalName>
    <b:Volume>718</b:Volume>
    <b:Pages>137231</b:Pages>
    <b:RefOrder>27</b:RefOrder>
  </b:Source>
  <b:Source>
    <b:Tag>Zhao2018</b:Tag>
    <b:SourceType>JournalArticle</b:SourceType>
    <b:Guid>{A0000001-0000-0000-0000-000000000028}</b:Guid>
    <b:Author>
      <b:Author>
        <b:NameList>
          <b:Person>
            <b:Last>Zhao</b:Last>
            <b:First>Na</b:First>
          </b:Person>
        </b:NameList>
      </b:Author>
    </b:Author>
    <b:Title>Pharmaceutical analysis model robustness from bagging-pls and pls using systematic tracking mapping</b:Title>
    <b:Year>2018</b:Year>
    <b:JournalName>Frontiers in Chemistry</b:JournalName>
    <b:Volume>6</b:Volume>
    <b:Pages>262</b:Pages>
    <b:RefOrder>28</b:RefOrder>
  </b:Source>
  <b:Source>
    <b:Tag>Kumari2024</b:Tag>
    <b:SourceType>JournalArticle</b:SourceType>
    <b:Guid>{A0000001-0000-0000-0000-000000000029}</b:Guid>
    <b:Author>
      <b:Author>
        <b:NameList>
          <b:Person>
            <b:Last>Kumari</b:Last>
            <b:First>M. Venkata</b:First>
          </b:Person>
        </b:NameList>
      </b:Author>
    </b:Author>
    <b:Title>A review on chemometric techniques</b:Title>
    <b:Year>2024</b:Year>
    <b:JournalName>International Journal of Pharmacy and Pharmaceutical Sciences</b:JournalName>
    <b:Volume>9</b:Volume>
    <b:Issue>4</b:Issue>
    <b:RefOrder>29</b:RefOrder>
  </b:Source>
  <b:Source>
    <b:Tag>Martins2006</b:Tag>
    <b:SourceType>Thesis</b:SourceType>
    <b:Guid>{A0000001-0000-0000-0000-000000000030}</b:Guid>
    <b:Author>
      <b:Author>
        <b:NameList>
          <b:Person>
            <b:Last>Martins</b:Last>
            <b:First>Marcia do Nascimento</b:First>
          </b:Person>
        </b:NameList>
      </b:Author>
    </b:Author>
    <b:Title>Transferencia de calibracao de instrumentos para analise espectrometrica empregando selecao de variaveis, reamostragem e combinacao de modelos</b:Title>
    <b:Year>2006</b:Year>
    <b:Publisher>ITA</b:Publisher>
    <b:City>Sao Jose dos Campos</b:City>
    <b:RefOrder>30</b:RefOrder>
  </b:Source>
  <b:Source>
    <b:Tag>Bauer1999</b:Tag>
    <b:SourceType>JournalArticle</b:SourceType>
    <b:Guid>{A0000001-0000-0000-0000-000000000031}</b:Guid>
    <b:Author>
      <b:Author>
        <b:NameList>
          <b:Person>
            <b:Last>Bauer</b:Last>
            <b:First>Eric</b:First>
          </b:Person>
          <b:Person>
            <b:Last>Kohavi</b:Last>
            <b:First>Ron</b:First>
          </b:Person>
        </b:NameList>
      </b:Author>
    </b:Author>
    <b:Title>An empirical comparison of voting classification algorithms: Bagging, boosting and variants</b:Title>
    <b:Year>1999</b:Year>
    <b:JournalName>Machine Learning</b:JournalName>
    <b:Volume>36</b:Volume>
    <b:Pages>105</b:Pages>
    <b:RefOrder>31</b:RefOrder>
  </b:Source>
  <b:Source>
    <b:Tag>Breiman2001</b:Tag>
    <b:SourceType>JournalArticle</b:SourceType>
    <b:Guid>{A0000001-0000-0000-0000-000000000032}</b:Guid>
    <b:Author>
      <b:Author>
        <b:NameList>
          <b:Person>
            <b:Last>Breiman</b:Last>
            <b:First>Leo</b:First>
          </b:Person>
        </b:NameList>
      </b:Author>
    </b:Author>
    <b:Title>Using iterated bagging to debias regressions</b:Title>
    <b:Year>2001</b:Year>
    <b:JournalName>Machine Learning</b:JournalName>
    <b:Volume>45</b:Volume>
    <b:Pages>261</b:Pages>
    <b:RefOrder>32</b:RefOrder>
  </b:Source>
  <b:Source>
    <b:Tag>Buhlmann2003</b:Tag>
    <b:SourceType>Report</b:SourceType>
    <b:Guid>{A0000001-0000-0000-0000-000000000033}</b:Guid>
    <b:Author>
      <b:Author>
        <b:NameList>
          <b:Person>
            <b:Last>Buhlmann</b:Last>
            <b:First>Peter</b:First>
          </b:Person>
        </b:NameList>
      </b:Author>
    </b:Author>
    <b:Title>Bagging, Subagging and Bragging for Improving some Prediction Algorithms</b:Title>
    <b:Year>2003</b:Year>
    <b:Publisher>ETH Zurich</b:Publisher>
    <b:RefOrder>33</b:RefOrder>
  </b:Source>
  <b:Source>
    <b:Tag>Revelas2024</b:Tag>
    <b:SourceType>Misc</b:SourceType>
    <b:Guid>{A0000001-0000-0000-0000-000000000034}</b:Guid>
    <b:Author>
      <b:Author>
        <b:NameList>
          <b:Person>
            <b:Last>Revelas</b:Last>
            <b:First>Christos</b:First>
          </b:Person>
          <b:Person>
            <b:Last>Boldea</b:Last>
            <b:First>Otilia</b:First>
          </b:Person>
          <b:Person>
            <b:Last>Werker</b:Last>
            <b:First>Bas J. M.</b:First>
          </b:Person>
        </b:NameList>
      </b:Author>
    </b:Author>
    <b:Title>When does Subagging Work?</b:Title>
    <b:Year>2024</b:Year>
    <b:Publisher>arXiv</b:Publisher>
    <b:Issue>2404.01832</b:Issue>
    <b:RefOrder>34</b:RefOrder>
  </b:Source>
  <b:Source>
    <b:Tag>Qin2023</b:Tag>
    <b:SourceType>Misc</b:SourceType>
    <b:Guid>{A0000001-0000-0000-0000-000000000035}</b:Guid>
    <b:Author>
      <b:Author>
        <b:NameList>
          <b:Person>
            <b:Last>Qin</b:Last>
            <b:First>Tong</b:First>
          </b:Person>
          <b:Person>
            <b:Last>Huang</b:Last>
            <b:First>Wen-Min</b:First>
          </b:Person>
        </b:NameList>
      </b:Author>
    </b:Author>
    <b:Title>On Subagging Boosted Probit Model Trees</b:Title>
    <b:Year>2023</b:Year>
    <b:Publisher>arXiv</b:Publisher>
    <b:Issue>2311.02827</b:Issue>
    <b:RefOrder>35</b:RefOrder>
  </b:Source>
  <b:Source>
    <b:Tag>Zhao2018b</b:Tag>
    <b:SourceType>JournalArticle</b:SourceType>
    <b:Guid>{A0000001-0000-0000-0000-000000000036}</b:Guid>
    <b:Author>
      <b:Author>
        <b:NameList>
          <b:Person>
            <b:Last>Zhao</b:Last>
            <b:First>Yujia</b:First>
          </b:Person>
          <b:Person>
            <b:Last>Amemiya</b:Last>
            <b:First>Yasuo</b:First>
          </b:Person>
          <b:Person>
            <b:Last>Hung</b:Last>
            <b:First>Ying</b:First>
          </b:Person>
        </b:NameList>
      </b:Author>
    </b:Author>
    <b:Title>Efficient gaussian process modeling using experimental design-based subagging</b:Title>
    <b:Year>2018</b:Year>
    <b:JournalName>Statistica Sinica</b:JournalName>
    <b:Volume>28</b:Volume>
    <b:Issue>3</b:Issue>
    <b:Pages>1459</b:Pages>
    <b:RefOrder>36</b:RefOrder>
  </b:Source>
  <b:Source>
    <b:Tag>Shi2021</b:Tag>
    <b:SourceType>JournalArticle</b:SourceType>
    <b:Guid>{A0000001-0000-0000-0000-000000000037}</b:Guid>
    <b:Author>
      <b:Author>
        <b:NameList>
          <b:Person>
            <b:Last>Shi</b:Last>
            <b:First>Chengchun</b:First>
          </b:Person>
          <b:Person>
            <b:Last>Lu</b:Last>
            <b:First>Wenbin</b:First>
          </b:Person>
          <b:Person>
            <b:Last>Song</b:Last>
            <b:First>Rui</b:First>
          </b:Person>
        </b:NameList>
      </b:Author>
    </b:Author>
    <b:Title>Breaking the curse of nonregularity with subagging: Inference of the mean outcome under optimal treatment regimes</b:Title>
    <b:Year>2021</b:Year>
    <b:JournalName>Journal of Machine Learning Research</b:JournalName>
    <b:Volume>22</b:Volume>
    <b:Issue>1</b:Issue>
    <b:Pages>1</b:Pages>
    <b:RefOrder>37</b:RefOrder>
  </b:Source>
  <b:Source>
    <b:Tag>Zhang2017</b:Tag>
    <b:SourceType>JournalArticle</b:SourceType>
    <b:Guid>{A0000001-0000-0000-0000-000000000038}</b:Guid>
    <b:Author>
      <b:Author>
        <b:NameList>
          <b:Person>
            <b:Last>Zhang</b:Last>
            <b:First>Chi</b:First>
          </b:Person>
        </b:NameList>
      </b:Author>
    </b:Author>
    <b:Title>Subagging for the improvement of predictive stability of extreme learning machine for spectral quantitative analysis of complex samples</b:Title>
    <b:Year>2017</b:Year>
    <b:JournalName>Chemometrics and Intelligent Laboratory Systems</b:JournalName>
    <b:Volume>161</b:Volume>
    <b:Pages>43</b:Pages>
    <b:RefOrder>38</b:RefOrder>
  </b:Source>
  <b:Source>
    <b:Tag>Tao2021</b:Tag>
    <b:SourceType>JournalArticle</b:SourceType>
    <b:Guid>{A0000001-0000-0000-0000-000000000039}</b:Guid>
    <b:Author>
      <b:Author>
        <b:NameList>
          <b:Person>
            <b:Last>Tao</b:Last>
            <b:First>Xian</b:First>
          </b:Person>
        </b:NameList>
      </b:Author>
    </b:Author>
    <b:Title>Gated recurrent unit-based parallel network traffic anomaly detection using subagging</b:Title>
    <b:Year>2021</b:Year>
    <b:JournalName>IEEE Transactions on Dependable and Secure Computing</b:JournalName>
    <b:Volume>19</b:Volume>
    <b:Issue>4</b:Issue>
    <b:Pages>2456</b:Pages>
    <b:RefOrder>39</b:RefOrder>
  </b:Source>
  <b:Source>
    <b:Tag>Paleologo2020</b:Tag>
    <b:SourceType>JournalArticle</b:SourceType>
    <b:Guid>{A0000001-0000-0000-0000-000000000040}</b:Guid>
    <b:Author>
      <b:Author>
        <b:NameList>
          <b:Person>
            <b:Last>Paleologo</b:Last>
            <b:First>Giuseppe</b:First>
          </b:Person>
          <b:Person>
            <b:Last>Elisseeff</b:Last>
            <b:First>Andre</b:First>
          </b:Person>
          <b:Person>
            <b:Last>Antonini</b:Last>
            <b:First>Giulio</b:First>
          </b:Person>
        </b:NameList>
      </b:Author>
    </b:Author>
    <b:Title>Subagging for credit scoring models</b:Title>
    <b:Year>2020</b:Year>
    <b:JournalName>European Journal of Operational Research</b:JournalName>
    <b:Volume>201</b:Volume>
    <b:Issue>2</b:Issue>
    <b:Pages>490</b:Pages>
    <b:RefOrder>40</b:RefOrder>
  </b:Source>
  <b:Source>
    <b:Tag>Wei2021</b:Tag>
    <b:SourceType>Thesis</b:SourceType>
    <b:Guid>{A0000001-0000-0000-0000-000000000041}</b:Guid>
    <b:Author>
      <b:Author>
        <b:NameList>
          <b:Person>
            <b:Last>Wei</b:Last>
            <b:First>Yifan</b:First>
          </b:Person>
        </b:NameList>
      </b:Author>
    </b:Author>
    <b:Title>Quantifying variation of subsampling-based ensemble methods under a u-statistic framework</b:Title>
    <b:Year>2021</b:Year>
    <b:Publisher>Wellesley College</b:Publisher>
    <b:RefOrder>41</b:RefOrder>
  </b:Source>
  <b:Source>
    <b:Tag>Ing2016</b:Tag>
    <b:SourceType>JournalArticle</b:SourceType>
    <b:Guid>{A0000001-0000-0000-0000-000000000042}</b:Guid>
    <b:Author>
      <b:Author>
        <b:NameList>
          <b:Person>
            <b:Last>Ing</b:Last>
            <b:First>Ching-Kang</b:First>
          </b:Person>
          <b:Person>
            <b:Last>Lai</b:Last>
            <b:First>Tze Leung</b:First>
          </b:Person>
        </b:NameList>
      </b:Author>
    </b:Author>
    <b:Title>Randomized maximum-contrast selection: Subagging for large-scale regression</b:Title>
    <b:Year>2016</b:Year>
    <b:JournalName>Electronic Journal of Statistics</b:JournalName>
    <b:Volume>10</b:Volume>
    <b:Issue>1</b:Issue>
    <b:Pages>121</b:Pages>
    <b:RefOrder>42</b:RefOrder>
  </b:Source>
  <b:Source>
    <b:Tag>Pimentel1998</b:Tag>
    <b:SourceType>JournalArticle</b:SourceType>
    <b:Guid>{A0000001-0000-0000-0000-000000000043}</b:Guid>
    <b:Author>
      <b:Author>
        <b:NameList>
          <b:Person>
            <b:Last>Pimentel</b:Last>
            <b:First>Mario F.</b:First>
          </b:Person>
          <b:Person>
            <b:Last>Galvao</b:Last>
            <b:First>Roberto K. H.</b:First>
          </b:Person>
          <b:Person>
            <b:Last>Araujo</b:Last>
            <b:First>Mario C. U.</b:First>
          </b:Person>
          <b:Person>
            <b:Last>Pontes</b:Last>
            <b:First>Marcos J. C.</b:First>
          </b:Person>
        </b:NameList>
      </b:Author>
    </b:Author>
    <b:Title>Convertion of a sequential inductively coupled plasma emission spectrometer into a multichannel simultaneous system using a photodiode array detector</b:Title>
    <b:Year>1998</b:Year>
    <b:JournalName>Journal of Automatic Chemistry</b:JournalName>
    <b:Volume>20</b:Volume>
    <b:Issue>3</b:Issue>
    <b:Pages>69</b:Pages>
    <b:RefOrder>43</b:RefOrder>
  </b:Source>
  <b:Source>
    <b:Tag>Kramer1998</b:Tag>
    <b:SourceType>Book</b:SourceType>
    <b:Guid>{A0000001-0000-0000-0000-000000000044}</b:Guid>
    <b:Author>
      <b:Author>
        <b:NameList>
          <b:Person>
            <b:Last>Kramer</b:Last>
            <b:First>Roger</b:First>
          </b:Person>
        </b:NameList>
      </b:Author>
    </b:Author>
    <b:Title>Chemometric Techniques for Quantitative Analysis</b:Title>
    <b:Year>1998</b:Year>
    <b:Publisher>CRC Press</b:Publisher>
    <b:City>USA</b:City>
    <b:RefOrder>44</b:RefOrder>
  </b:Source>
  <b:Source>
    <b:Tag>Martens1989</b:Tag>
    <b:SourceType>Book</b:SourceType>
    <b:Guid>{A0000001-0000-0000-0000-000000000045}</b:Guid>
    <b:Author>
      <b:Author>
        <b:NameList>
          <b:Person>
            <b:Last>Martens</b:Last>
            <b:First>Harald</b:First>
          </b:Person>
          <b:Person>
            <b:Last>Naes</b:Last>
            <b:First>Tormod</b:First>
          </b:Person>
        </b:NameList>
      </b:Author>
    </b:Author>
    <b:Title>Multivariate Calibration</b:Title>
    <b:Year>1989</b:Year>
    <b:Publisher>John Wiley &amp; Sons</b:Publisher>
    <b:City>USA</b:City>
    <b:RefOrder>45</b:RefOrder>
  </b:Source>
  <b:Source>
    <b:Tag>Westad2024</b:Tag>
    <b:SourceType>JournalArticle</b:SourceType>
    <b:Guid>{A0000001-0000-0000-0000-000000000046}</b:Guid>
    <b:Author>
      <b:Author>
        <b:NameList>
          <b:Person>
            <b:Last>Westad</b:Last>
            <b:First>Frank</b:First>
          </b:Person>
          <b:Person>
            <b:Last>Flaten</b:Last>
            <b:First>Gro Rannveig</b:First>
          </b:Person>
        </b:NameList>
      </b:Author>
    </b:Author>
    <b:Title>A retrospective view on non-linear methods in chemometrics, and future directions</b:Title>
    <b:Year>2024</b:Year>
    <b:JournalName>Frontiers in Analytical Science</b:JournalName>
    <b:Volume>4</b:Volume>
    <b:RefOrder>46</b:RefOrder>
  </b:Source>
  <b:Source>
    <b:Tag>Peris2021</b:Tag>
    <b:SourceType>JournalArticle</b:SourceType>
    <b:Guid>{A0000001-0000-0000-0000-000000000047}</b:Guid>
    <b:Author>
      <b:Author>
        <b:NameList>
          <b:Person>
            <b:Last>Peris-Diaz</b:Last>
            <b:First>Manuel D.</b:First>
          </b:Person>
          <b:Person>
            <b:Last>Krezel</b:Last>
            <b:First>Artur</b:First>
          </b:Person>
        </b:NameList>
      </b:Author>
    </b:Author>
    <b:Title>A guide to good practice in chemometric methods for vibrational spectroscopy, electrochemistry, and hyphenated mass spectrometry</b:Title>
    <b:Year>2021</b:Year>
    <b:JournalName>TrAC Trends in Analytical Chemistry</b:JournalName>
    <b:Volume>135</b:Volume>
    <b:Pages>116157</b:Pages>
    <b:RefOrder>47</b:RefOrder>
  </b:Source>
  <b:Source>
    <b:Tag>Hodson2022</b:Tag>
    <b:SourceType>JournalArticle</b:SourceType>
    <b:Guid>{A0000001-0000-0000-0000-000000000048}</b:Guid>
    <b:Author>
      <b:Author>
        <b:NameList>
          <b:Person>
            <b:Last>Hodson</b:Last>
            <b:First>Timothy O.</b:First>
          </b:Person>
        </b:NameList>
      </b:Author>
    </b:Author>
    <b:Title>Root-mean-square error (RMSE) or mean absolute error (MAE): when to use them or not</b:Title>
    <b:Year>2022</b:Year>
    <b:JournalName>Geoscientific Model Development</b:JournalName>
    <b:Volume>15</b:Volume>
    <b:Issue>14</b:Issue>
    <b:Pages>5481</b:Pages>
    <b:RefOrder>48</b:RefOrder>
  </b:Source>
  <b:Source>
    <b:Tag>Ezenarro2025</b:Tag>
    <b:SourceType>JournalArticle</b:SourceType>
    <b:Guid>{A0000001-0000-0000-0000-000000000049}</b:Guid>
    <b:Author>
      <b:Author>
        <b:NameList>
          <b:Person>
            <b:Last>Ezenarro</b:Last>
            <b:First>Jonatan</b:First>
          </b:Person>
          <b:Person>
            <b:Last>Schorn-Garcia</b:Last>
            <b:First>Daniel</b:First>
          </b:Person>
        </b:NameList>
      </b:Author>
    </b:Author>
    <b:Title>How are chemometric models validated? A systematic review of linear regression models for NIRS data in food analysis</b:Title>
    <b:Year>2025</b:Year>
    <b:JournalName>Journal of Chemometrics</b:JournalName>
    <b:Volume>39</b:Volume>
    <b:Issue>6</b:Issue>
    <b:Pages>e70036</b:Pages>
    <b:RefOrder>49</b:RefOrder>
  </b:Source>
</b:Sources>
</file>

<file path=customXml/itemProps1.xml><?xml version="1.0" encoding="utf-8"?>
<ds:datastoreItem xmlns:ds="http://schemas.openxmlformats.org/officeDocument/2006/customXml" ds:itemID="{4717F347-124B-4BA6-9055-CF6FE6BE4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1782</Words>
  <Characters>9627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wagner.araujo</cp:lastModifiedBy>
  <cp:revision>6</cp:revision>
  <dcterms:created xsi:type="dcterms:W3CDTF">2026-04-11T23:27:00Z</dcterms:created>
  <dcterms:modified xsi:type="dcterms:W3CDTF">2026-06-02T19:27:00Z</dcterms:modified>
  <dc:language>pt-BR</dc:language>
</cp:coreProperties>
</file>