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b/>
          <w:bCs/>
          <w:color w:val="1F3A6E"/>
          <w:sz w:val="36"/>
          <w:szCs w:val="36"/>
        </w:rPr>
        <w:t xml:space="preserve">ANÁLISE CRÍTICA DO TRABALHO DE CONCLUSÃO DE CURSO</w:t>
      </w:r>
    </w:p>
    <w:p>
      <w:pPr>
        <w:spacing w:before="80" w:after="80"/>
        <w:jc w:val="center"/>
      </w:pPr>
      <w:r>
        <w:rPr>
          <w:i/>
          <w:iCs/>
          <w:color w:val="444444"/>
          <w:sz w:val="24"/>
          <w:szCs w:val="24"/>
        </w:rPr>
        <w:t xml:space="preserve">Modelagem de Calibração Multivariada: Regressão Linear Múltipla com</w:t>
      </w:r>
    </w:p>
    <w:p>
      <w:pPr>
        <w:spacing w:before="0" w:after="80"/>
        <w:jc w:val="center"/>
      </w:pPr>
      <w:r>
        <w:rPr>
          <w:i/>
          <w:iCs/>
          <w:color w:val="444444"/>
          <w:sz w:val="24"/>
          <w:szCs w:val="24"/>
        </w:rPr>
        <w:t xml:space="preserve">Métodos de Conjunto e Avaliação pelo RMSEP</w:t>
      </w:r>
    </w:p>
    <w:p>
      <w:pPr>
        <w:spacing w:before="80" w:after="80"/>
        <w:jc w:val="center"/>
      </w:pPr>
      <w:r>
        <w:rPr>
          <w:color w:val="666666"/>
          <w:sz w:val="20"/>
          <w:szCs w:val="20"/>
        </w:rPr>
        <w:t xml:space="preserve">Wagner Oliveira de Araujo — IFG Campus Anápolis — 2026</w:t>
      </w:r>
    </w:p>
    <w:p>
      <w:pPr>
        <w:pBdr>
          <w:bottom w:val="single" w:color="CCDDEE" w:sz="4" w:space="1"/>
        </w:pBd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Autor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Wagner Oliveira de Araujo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Orientador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Prof. Dr. Cid Nelson Silva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Instituição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IFG — Instituto Federal de Goiás, Campus Anápolis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Curso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Bacharelado em Ciência da Computação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Área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Quimiometria, Aprendizado de Máquina, Calibração Multivariada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Ano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2026</w:t>
            </w:r>
          </w:p>
        </w:tc>
      </w:tr>
    </w:tbl>
    <w:p>
      <w:pPr>
        <w:spacing w:before="200" w:after="80"/>
      </w:pPr>
    </w:p>
    <w:p>
      <w:pPr>
        <w:pStyle w:val="Heading1"/>
        <w:spacing w:before="320" w:after="160"/>
      </w:pPr>
      <w:r>
        <w:rPr>
          <w:b/>
          <w:bCs/>
          <w:color w:val="1F3A6E"/>
          <w:sz w:val="28"/>
          <w:szCs w:val="28"/>
        </w:rPr>
        <w:t xml:space="preserve">1. Visão Geral e Contexto do Trabalho</w:t>
      </w:r>
    </w:p>
    <w:p>
      <w:pPr>
        <w:spacing w:before="120" w:after="120"/>
      </w:pPr>
      <w:r>
        <w:rPr>
          <w:sz w:val="22"/>
          <w:szCs w:val="22"/>
        </w:rPr>
        <w:t xml:space="preserve">O TCC investiga a aplicação de </w:t>
      </w:r>
      <w:r>
        <w:rPr>
          <w:b/>
          <w:bCs/>
          <w:sz w:val="22"/>
          <w:szCs w:val="22"/>
        </w:rPr>
        <w:t xml:space="preserve">técnicas de reamostragem bootstrap</w:t>
      </w:r>
      <w:r>
        <w:rPr>
          <w:sz w:val="22"/>
          <w:szCs w:val="22"/>
        </w:rPr>
        <w:t xml:space="preserve"> — especificamente </w:t>
      </w:r>
      <w:r>
        <w:rPr>
          <w:b/>
          <w:bCs/>
          <w:sz w:val="22"/>
          <w:szCs w:val="22"/>
        </w:rPr>
        <w:t xml:space="preserve">bagging</w:t>
      </w:r>
      <w:r>
        <w:rPr>
          <w:sz w:val="22"/>
          <w:szCs w:val="22"/>
        </w:rPr>
        <w:t xml:space="preserve"> e </w:t>
      </w:r>
      <w:r>
        <w:rPr>
          <w:b/>
          <w:bCs/>
          <w:sz w:val="22"/>
          <w:szCs w:val="22"/>
        </w:rPr>
        <w:t xml:space="preserve">subagging</w:t>
      </w:r>
      <w:r>
        <w:rPr>
          <w:sz w:val="22"/>
          <w:szCs w:val="22"/>
        </w:rPr>
        <w:t xml:space="preserve"> — aplicadas à Regressão Linear Múltipla (RLM) para calibração multivariada de amostras de </w:t>
      </w:r>
      <w:r>
        <w:rPr>
          <w:b/>
          <w:bCs/>
          <w:sz w:val="22"/>
          <w:szCs w:val="22"/>
        </w:rPr>
        <w:t xml:space="preserve">aço-ligas</w:t>
      </w:r>
      <w:r>
        <w:rPr>
          <w:sz w:val="22"/>
          <w:szCs w:val="22"/>
        </w:rPr>
        <w:t xml:space="preserve">. O objetivo central é determinar com precisão a concentração de cinco elementos químicos — Mn, Mo, Cr, Ni e Fe — a partir de espectros de emissão atômica em plasma (ICP-AES).</w:t>
      </w:r>
    </w:p>
    <w:p>
      <w:pPr>
        <w:spacing w:before="120" w:after="120"/>
      </w:pPr>
      <w:r>
        <w:rPr>
          <w:sz w:val="22"/>
          <w:szCs w:val="22"/>
        </w:rPr>
        <w:t xml:space="preserve">O trabalho é desenvolvido em Java (JavaSE-17), utilizando a biblioteca EJML para álgebra linear e JFreeChart para visualização. Os dados provêm de um espectrômetro ICP com arranjo de 1024 fotodiodos, resultando em matrizes de 723 variáveis espectrais por amostra.</w:t>
      </w:r>
    </w:p>
    <w:p>
      <w:pPr>
        <w:pBdr>
          <w:bottom w:val="single" w:color="CCDDEE" w:sz="4" w:space="1"/>
        </w:pBdr>
        <w:spacing w:before="80" w:after="80"/>
      </w:pPr>
    </w:p>
    <w:p>
      <w:pPr>
        <w:pStyle w:val="Heading1"/>
        <w:spacing w:before="320" w:after="160"/>
      </w:pPr>
      <w:r>
        <w:rPr>
          <w:b/>
          <w:bCs/>
          <w:color w:val="1F3A6E"/>
          <w:sz w:val="28"/>
          <w:szCs w:val="28"/>
        </w:rPr>
        <w:t xml:space="preserve">2. Pontos Fortes</w:t>
      </w:r>
    </w:p>
    <w:p>
      <w:pPr>
        <w:pStyle w:val="Heading2"/>
        <w:spacing w:before="240" w:after="120"/>
      </w:pPr>
      <w:r>
        <w:rPr>
          <w:b/>
          <w:bCs/>
          <w:color w:val="2E5998"/>
          <w:sz w:val="24"/>
          <w:szCs w:val="24"/>
        </w:rPr>
        <w:t xml:space="preserve">2.1 Rigor Metodológico</w:t>
      </w:r>
    </w:p>
    <w:p>
      <w:pPr>
        <w:spacing w:before="120" w:after="120"/>
      </w:pPr>
      <w:r>
        <w:rPr>
          <w:sz w:val="22"/>
          <w:szCs w:val="22"/>
        </w:rPr>
        <w:t xml:space="preserve">Um dos principais méritos do trabalho é a adoção de um protocolo de validação bem estruturado. O autor emprega </w:t>
      </w:r>
      <w:r>
        <w:rPr>
          <w:b/>
          <w:bCs/>
          <w:sz w:val="22"/>
          <w:szCs w:val="22"/>
        </w:rPr>
        <w:t xml:space="preserve">validação cruzada 5-fold</w:t>
      </w:r>
      <w:r>
        <w:rPr>
          <w:sz w:val="22"/>
          <w:szCs w:val="22"/>
        </w:rPr>
        <w:t xml:space="preserve"> exclusivamente sobre o conjunto de calibração para otimização de hiperparâmetros, garantindo que o conjunto de teste seja utilizado uma única vez para avaliação final. Isso evita o problema clássico de </w:t>
      </w:r>
      <w:r>
        <w:rPr>
          <w:i/>
          <w:iCs/>
          <w:sz w:val="22"/>
          <w:szCs w:val="22"/>
        </w:rPr>
        <w:t xml:space="preserve">data leakage</w:t>
      </w:r>
      <w:r>
        <w:rPr>
          <w:sz w:val="22"/>
          <w:szCs w:val="22"/>
        </w:rPr>
        <w:t xml:space="preserve">, conferindo credibilidade estatística aos resultados.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Separação estrita entre conjuntos de calibração (33,3–45,9%) e teste (54,1–66,7%)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Semente fixa (seed = 42) para reprodutibilidade dos experimentos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Grid search sistemático sobre os hiperparâmetros m ∈ {5, 10, 20, 30, 50} e k ∈ {0,50; 0,60; 0,70; 0,80}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Uso combinado de três métricas complementares: RMSEP, MAE e R²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b/>
          <w:bCs/>
          <w:color w:val="2E5998"/>
          <w:sz w:val="24"/>
          <w:szCs w:val="24"/>
        </w:rPr>
        <w:t xml:space="preserve">2.2 Relevância Prática e Originalidade</w:t>
      </w:r>
    </w:p>
    <w:p>
      <w:pPr>
        <w:spacing w:before="120" w:after="120"/>
      </w:pPr>
      <w:r>
        <w:rPr>
          <w:sz w:val="22"/>
          <w:szCs w:val="22"/>
        </w:rPr>
        <w:t xml:space="preserve">A aplicação de bagging e subagging à calibração espectral de aço-ligas representa uma contribuição original. Conforme afirmado pelo próprio autor, essas técnicas de ensemble ainda não foram amplamente exploradas nesse contexto específico. O trabalho preenche uma lacuna da literatura em quimiometria aplicada à metalurgia.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Problema com impacto industrial direto: controle de qualidade de aço em laboratórios e indústrias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Extensão natural da teoria bootstrap para o domínio da calibração multivariada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Combinação incomum de Java com quimiometria, que tipicamente usa Python ou MATLAB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b/>
          <w:bCs/>
          <w:color w:val="2E5998"/>
          <w:sz w:val="24"/>
          <w:szCs w:val="24"/>
        </w:rPr>
        <w:t xml:space="preserve">2.3 Fundamentação Teórica</w:t>
      </w:r>
    </w:p>
    <w:p>
      <w:pPr>
        <w:spacing w:before="120" w:after="120"/>
      </w:pPr>
      <w:r>
        <w:rPr>
          <w:sz w:val="22"/>
          <w:szCs w:val="22"/>
        </w:rPr>
        <w:t xml:space="preserve">A revisão bibliográfica é abrangente e bem estruturada. O autor apresenta com clareza os fundamentos do bootstrap (Efron &amp; Tibshirani, 1993), o princípio plug-in, a distribuição empírica e as diferenças operacionais entre bagging e subagging. As referências são atuais e de qualidade, incluindo artigos de 2024–2025.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Cobertura teórica desde fundamentos de probabilidade até técnicas ensemble avançadas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Derivação formal dos estimadores via pseudoinversa de Moore-Penrose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Tabela comparativa clara entre bagging e subagging (Tabela 4) é um recurso didático valioso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b/>
          <w:bCs/>
          <w:color w:val="2E5998"/>
          <w:sz w:val="24"/>
          <w:szCs w:val="24"/>
        </w:rPr>
        <w:t xml:space="preserve">2.4 Apresentação dos Resultados</w:t>
      </w:r>
    </w:p>
    <w:p>
      <w:pPr>
        <w:spacing w:before="120" w:after="120"/>
      </w:pPr>
      <w:r>
        <w:rPr>
          <w:sz w:val="22"/>
          <w:szCs w:val="22"/>
        </w:rPr>
        <w:t xml:space="preserve">Os resultados são apresentados de forma progressiva e comparativa, com tabelas e figuras bem elaboradas. A análise de sensibilidade do número de replicações bootstrap (Figuras 6 e 8) demonstra maturidade experimental. O autor vai além da simples apresentação de números, discutindo causas físicas e espectrais para os comportamentos observados.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Análise do comportamento do RMSEP em função do número de replicações bootstrap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Comparação com dois cenários de proporção de calibração (50% e 80%)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Análise de tempo de execução — aspecto frequentemente ignorado em trabalhos acadêmicos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Discussão sobre complexidade espectral como fator explicativo para as diferenças entre analitos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b/>
          <w:bCs/>
          <w:color w:val="2E5998"/>
          <w:sz w:val="24"/>
          <w:szCs w:val="24"/>
        </w:rPr>
        <w:t xml:space="preserve">2.5 Resultados Quantitativos Sólidos</w:t>
      </w:r>
    </w:p>
    <w:p>
      <w:pPr>
        <w:spacing w:before="120" w:after="120"/>
      </w:pPr>
      <w:r>
        <w:rPr>
          <w:sz w:val="22"/>
          <w:szCs w:val="22"/>
        </w:rPr>
        <w:t xml:space="preserve">Os modelos apresentam desempenho preditivo elevado, com todos os R² superiores a 0,9815. A Tabela 11 sintetiza com clareza a comparação final entre os três métodos.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1700"/>
        <w:gridCol w:w="1300"/>
        <w:gridCol w:w="2060"/>
      </w:tblGrid>
      <w:tr>
        <w:trPr>
          <w:tblHeader/>
        </w:trPr>
        <w:tc>
          <w:tcPr>
            <w:tcW w:type="dxa" w:w="1400"/>
            <w:tcBorders>
              <w:top w:val="single" w:color="2E4E8B" w:sz="1"/>
              <w:left w:val="single" w:color="2E4E8B" w:sz="1"/>
              <w:bottom w:val="single" w:color="2E4E8B" w:sz="1"/>
              <w:right w:val="single" w:color="2E4E8B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Analito</w:t>
            </w:r>
          </w:p>
        </w:tc>
        <w:tc>
          <w:tcPr>
            <w:tcW w:type="dxa" w:w="2100"/>
            <w:tcBorders>
              <w:top w:val="single" w:color="2E4E8B" w:sz="1"/>
              <w:left w:val="single" w:color="2E4E8B" w:sz="1"/>
              <w:bottom w:val="single" w:color="2E4E8B" w:sz="1"/>
              <w:right w:val="single" w:color="2E4E8B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Melhor Técnica</w:t>
            </w:r>
          </w:p>
        </w:tc>
        <w:tc>
          <w:tcPr>
            <w:tcW w:type="dxa" w:w="1700"/>
            <w:tcBorders>
              <w:top w:val="single" w:color="2E4E8B" w:sz="1"/>
              <w:left w:val="single" w:color="2E4E8B" w:sz="1"/>
              <w:bottom w:val="single" w:color="2E4E8B" w:sz="1"/>
              <w:right w:val="single" w:color="2E4E8B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RMSEP Mínimo</w:t>
            </w:r>
          </w:p>
        </w:tc>
        <w:tc>
          <w:tcPr>
            <w:tcW w:type="dxa" w:w="1300"/>
            <w:tcBorders>
              <w:top w:val="single" w:color="2E4E8B" w:sz="1"/>
              <w:left w:val="single" w:color="2E4E8B" w:sz="1"/>
              <w:bottom w:val="single" w:color="2E4E8B" w:sz="1"/>
              <w:right w:val="single" w:color="2E4E8B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2060"/>
            <w:tcBorders>
              <w:top w:val="single" w:color="2E4E8B" w:sz="1"/>
              <w:left w:val="single" w:color="2E4E8B" w:sz="1"/>
              <w:bottom w:val="single" w:color="2E4E8B" w:sz="1"/>
              <w:right w:val="single" w:color="2E4E8B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Melhoria vs. RLM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RLM-subagging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0,0966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0,9922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−8,1%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RLM clássica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0,2633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0,9882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RLM clássica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1,0798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0,9938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RLM-subagging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1,6003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0,9838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−0,25%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RLM-bagging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2,6406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0,9900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−4,0%</w:t>
            </w:r>
          </w:p>
        </w:tc>
      </w:tr>
    </w:tbl>
    <w:p>
      <w:pPr>
        <w:spacing w:before="160" w:after="80"/>
      </w:pPr>
    </w:p>
    <w:p>
      <w:pPr>
        <w:pBdr>
          <w:bottom w:val="single" w:color="CCDDEE" w:sz="4" w:space="1"/>
        </w:pBdr>
        <w:spacing w:before="80" w:after="80"/>
      </w:pPr>
    </w:p>
    <w:p>
      <w:pPr>
        <w:pStyle w:val="Heading1"/>
        <w:spacing w:before="320" w:after="160"/>
      </w:pPr>
      <w:r>
        <w:rPr>
          <w:b/>
          <w:bCs/>
          <w:color w:val="1F3A6E"/>
          <w:sz w:val="28"/>
          <w:szCs w:val="28"/>
        </w:rPr>
        <w:t xml:space="preserve">3. Pontos de Melhoria e Limitações</w:t>
      </w:r>
    </w:p>
    <w:p>
      <w:pPr>
        <w:pStyle w:val="Heading2"/>
        <w:spacing w:before="240" w:after="120"/>
      </w:pPr>
      <w:r>
        <w:rPr>
          <w:b/>
          <w:bCs/>
          <w:color w:val="2E5998"/>
          <w:sz w:val="24"/>
          <w:szCs w:val="24"/>
        </w:rPr>
        <w:t xml:space="preserve">3.1 Conjunto de Dados Reduzido</w:t>
      </w:r>
    </w:p>
    <w:p>
      <w:pPr>
        <w:spacing w:before="120" w:after="120"/>
      </w:pPr>
      <w:r>
        <w:rPr>
          <w:sz w:val="22"/>
          <w:szCs w:val="22"/>
        </w:rPr>
        <w:t xml:space="preserve">A principal limitação do trabalho é o </w:t>
      </w:r>
      <w:r>
        <w:rPr>
          <w:b/>
          <w:bCs/>
          <w:sz w:val="22"/>
          <w:szCs w:val="22"/>
        </w:rPr>
        <w:t xml:space="preserve">tamanho muito pequeno do conjunto de calibração</w:t>
      </w:r>
      <w:r>
        <w:rPr>
          <w:sz w:val="22"/>
          <w:szCs w:val="22"/>
        </w:rPr>
        <w:t xml:space="preserve">: apenas 17 amostras para todos os elementos. Isso levanta questões sobre a robustez estatística das conclusões e a confiabilidade da validação cruzada 5-fold, que com 17 amostras resulta em folds de apenas 3–4 amostras.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Com folds de 3–4 amostras, as estimativas de RMSEP-CV apresentam alta variância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 generalização dos parâmetros ótimos (m*, k*) para outros conjuntos de dados fica comprometida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Recomendação: repetir os experimentos com seeds aleatórias diferentes e reportar intervalos de confiança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b/>
          <w:bCs/>
          <w:color w:val="2E5998"/>
          <w:sz w:val="24"/>
          <w:szCs w:val="24"/>
        </w:rPr>
        <w:t xml:space="preserve">3.2 Ausência de Análise de Significância Estatística</w:t>
      </w:r>
    </w:p>
    <w:p>
      <w:pPr>
        <w:spacing w:before="120" w:after="120"/>
      </w:pPr>
      <w:r>
        <w:rPr>
          <w:sz w:val="22"/>
          <w:szCs w:val="22"/>
        </w:rPr>
        <w:t xml:space="preserve">As comparações entre as técnicas são feitas apenas numericamente, sem testes de hipótese formais. Diferenças como a melhoria de 0,25% do RLM-subagging sobre a RLM para Ni (RMSEP de 1,6043 vs. 1,6003) podem não ser estatisticamente significativas dada a variabilidade amostral.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Ausência de testes como Diebold-Mariano ou bootstrap de diferenças de erros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Não há relato de desvio padrão ou intervalo de confiança para as métricas de desempenho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Uma melhoria de 0,25% não deveria ser reportada como "desempenho superior" sem suporte estatístico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b/>
          <w:bCs/>
          <w:color w:val="2E5998"/>
          <w:sz w:val="24"/>
          <w:szCs w:val="24"/>
        </w:rPr>
        <w:t xml:space="preserve">3.3 Inconsistências entre Tabelas de Resultados</w:t>
      </w:r>
    </w:p>
    <w:p>
      <w:pPr>
        <w:spacing w:before="120" w:after="120"/>
      </w:pPr>
      <w:r>
        <w:rPr>
          <w:sz w:val="22"/>
          <w:szCs w:val="22"/>
        </w:rPr>
        <w:t xml:space="preserve">O autor reconhece explicitamente que os valores da Tabela 11 diferem dos reportados nas Tabelas 7 e 8 porque as primeiras usam parâmetros fixos e as últimas usam validação cruzada. Embora a explicação seja dada, isso pode causar confusão para o leitor e a inconsistência poderia ter sido evitada com uma estrutura de apresentação mais clara.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 Tabela 10 ("RMSEP Mínimo") aponta o RLM-subagging como vencedor para Cr com proporção 50%, mas a Tabela 11 mostra a RLM clássica como melhor para Cr — há contradição aparente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 seção 4.3 (Bagging × Subagging) apresenta conclusões parcialmente divergentes das seções 4.1 e 4.2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b/>
          <w:bCs/>
          <w:color w:val="2E5998"/>
          <w:sz w:val="24"/>
          <w:szCs w:val="24"/>
        </w:rPr>
        <w:t xml:space="preserve">3.4 Erro Tipográfico no Título da Seção 4.3</w:t>
      </w:r>
    </w:p>
    <w:p>
      <w:pPr>
        <w:spacing w:before="120" w:after="120"/>
      </w:pPr>
      <w:r>
        <w:rPr>
          <w:sz w:val="22"/>
          <w:szCs w:val="22"/>
        </w:rPr>
        <w:t xml:space="preserve">O título da seção 4.3 está grafado como "BAGGIN × SUBAGGING" (faltando o segundo 'G'). Embora seja um erro menor, prejudica a impressão geral de qualidade do documento.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b/>
          <w:bCs/>
          <w:color w:val="2E5998"/>
          <w:sz w:val="24"/>
          <w:szCs w:val="24"/>
        </w:rPr>
        <w:t xml:space="preserve">3.5 Análise de Eficiência Computacional Incompleta</w:t>
      </w:r>
    </w:p>
    <w:p>
      <w:pPr>
        <w:spacing w:before="120" w:after="120"/>
      </w:pPr>
      <w:r>
        <w:rPr>
          <w:sz w:val="22"/>
          <w:szCs w:val="22"/>
        </w:rPr>
        <w:t xml:space="preserve">A análise de tempo (Figura 10 e 12) apresenta resultados interessantes, mas falta contexto sobre o </w:t>
      </w:r>
      <w:r>
        <w:rPr>
          <w:b/>
          <w:bCs/>
          <w:sz w:val="22"/>
          <w:szCs w:val="22"/>
        </w:rPr>
        <w:t xml:space="preserve">ambiente de hardware</w:t>
      </w:r>
      <w:r>
        <w:rPr>
          <w:sz w:val="22"/>
          <w:szCs w:val="22"/>
        </w:rPr>
        <w:t xml:space="preserve"> e sobre a </w:t>
      </w:r>
      <w:r>
        <w:rPr>
          <w:b/>
          <w:bCs/>
          <w:sz w:val="22"/>
          <w:szCs w:val="22"/>
        </w:rPr>
        <w:t xml:space="preserve">variabilidade das medições</w:t>
      </w:r>
      <w:r>
        <w:rPr>
          <w:sz w:val="22"/>
          <w:szCs w:val="22"/>
        </w:rPr>
        <w:t xml:space="preserve">. Tempos de execução sem informar número de repetições, processador, memória ou JVM utilizada dificultam a reprodutibilidade.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Não há informação sobre o hardware utilizado nos experimentos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Não há indicação de quantas vezes cada experimento foi repetido para medir o tempo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 comparação de 13× de aumento para subagging (50% → 80%) parece desproporcional e carece de explicação mais detalhada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b/>
          <w:bCs/>
          <w:color w:val="2E5998"/>
          <w:sz w:val="24"/>
          <w:szCs w:val="24"/>
        </w:rPr>
        <w:t xml:space="preserve">3.6 Escopo Restrito de Modelos Base</w:t>
      </w:r>
    </w:p>
    <w:p>
      <w:pPr>
        <w:spacing w:before="120" w:after="120"/>
      </w:pPr>
      <w:r>
        <w:rPr>
          <w:sz w:val="22"/>
          <w:szCs w:val="22"/>
        </w:rPr>
        <w:t xml:space="preserve">O trabalho usa exclusivamente a RLM como modelo base. Modelos como </w:t>
      </w:r>
      <w:r>
        <w:rPr>
          <w:b/>
          <w:bCs/>
          <w:sz w:val="22"/>
          <w:szCs w:val="22"/>
        </w:rPr>
        <w:t xml:space="preserve">PLS (Partial Least Squares)</w:t>
      </w:r>
      <w:r>
        <w:rPr>
          <w:sz w:val="22"/>
          <w:szCs w:val="22"/>
        </w:rPr>
        <w:t xml:space="preserve"> são o padrão ouro em quimiometria espectral e seriam referências naturais de comparação. Isso é reconhecido pelo autor como trabalho futuro, mas sua ausência limita o impacto do estudo.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PLS é especialmente indicado para dados com alta colinearidade (como espectros ICP com 723 variáveis)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 RLM pode ser inadequada para dados espectroscópicos altamente correlacionados — ausência de análise de multicolinearidade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b/>
          <w:bCs/>
          <w:color w:val="2E5998"/>
          <w:sz w:val="24"/>
          <w:szCs w:val="24"/>
        </w:rPr>
        <w:t xml:space="preserve">3.7 Trecho de Introdução com Linguagem Inapropriada</w:t>
      </w:r>
    </w:p>
    <w:p>
      <w:pPr>
        <w:spacing w:before="120" w:after="120"/>
      </w:pPr>
      <w:r>
        <w:rPr>
          <w:sz w:val="22"/>
          <w:szCs w:val="22"/>
        </w:rPr>
        <w:t xml:space="preserve">Na página 11 da Introdução, o texto contém a frase: "</w:t>
      </w:r>
      <w:r>
        <w:rPr>
          <w:i/>
          <w:iCs/>
          <w:sz w:val="22"/>
          <w:szCs w:val="22"/>
        </w:rPr>
        <w:t xml:space="preserve">Neste trecho de código abrange todas as seções do trabalho de pesquisa</w:t>
      </w:r>
      <w:r>
        <w:rPr>
          <w:sz w:val="22"/>
          <w:szCs w:val="22"/>
        </w:rPr>
        <w:t xml:space="preserve">". Esta frase é claramente um artefato de escrita que não pertence ao texto acadêmico, sugerindo que não houve revisão cuidadosa do documento.</w:t>
      </w:r>
    </w:p>
    <w:p>
      <w:pPr>
        <w:pBdr>
          <w:bottom w:val="single" w:color="CCDDEE" w:sz="4" w:space="1"/>
        </w:pBdr>
        <w:spacing w:before="80" w:after="80"/>
      </w:pPr>
    </w:p>
    <w:p>
      <w:pPr>
        <w:pStyle w:val="Heading1"/>
        <w:spacing w:before="320" w:after="160"/>
      </w:pPr>
      <w:r>
        <w:rPr>
          <w:b/>
          <w:bCs/>
          <w:color w:val="1F3A6E"/>
          <w:sz w:val="28"/>
          <w:szCs w:val="28"/>
        </w:rPr>
        <w:t xml:space="preserve">4. Avaliação por Dimensões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Relevância e Originalidade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Tema original, com aplicação prática real e contribuição identificável à quimiometria.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Rigor Metodológico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Protocolo de validação sólido. Perda de pontos pela ausência de testes de significância.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Fundamentação Teórica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Revisão abrangente e bem estruturada. Referências de qualidade e atuais.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Qualidade dos Resultados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Resultados sólidos, mas conjunto de dados pequeno limita conclusões. Inconsistências entre tabelas.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Apresentação e Escrita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Boa organização geral, mas com erros tipográficos e trecho inapropriado na introdução.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Análise Crítica e Discussão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O autor discute causas físicas para os resultados. Reconhece limitações e propõe extensões.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Nota Geral Estimada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7,8 / 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Trabalho de boa qualidade para um TCC de graduação. Acima da média para o nível de Bacharelado.</w:t>
            </w:r>
          </w:p>
        </w:tc>
      </w:tr>
    </w:tbl>
    <w:p>
      <w:pPr>
        <w:spacing w:before="200" w:after="80"/>
      </w:pPr>
    </w:p>
    <w:p>
      <w:pPr>
        <w:pBdr>
          <w:bottom w:val="single" w:color="CCDDEE" w:sz="4" w:space="1"/>
        </w:pBdr>
        <w:spacing w:before="80" w:after="80"/>
      </w:pPr>
    </w:p>
    <w:p>
      <w:pPr>
        <w:pStyle w:val="Heading1"/>
        <w:spacing w:before="320" w:after="160"/>
      </w:pPr>
      <w:r>
        <w:rPr>
          <w:b/>
          <w:bCs/>
          <w:color w:val="1F3A6E"/>
          <w:sz w:val="28"/>
          <w:szCs w:val="28"/>
        </w:rPr>
        <w:t xml:space="preserve">5. Análise das Conclusões do Autor</w:t>
      </w:r>
    </w:p>
    <w:p>
      <w:pPr>
        <w:spacing w:before="120" w:after="120"/>
      </w:pPr>
      <w:r>
        <w:rPr>
          <w:sz w:val="22"/>
          <w:szCs w:val="22"/>
        </w:rPr>
        <w:t xml:space="preserve">As conclusões do trabalho são bem fundamentadas e honestas. O autor evita a armadilha comum de declarar uma técnica como universalmente superior, reconhecendo a dependência dos resultados em relação ao analito específico. As principais conclusões podem ser avaliadas da seguinte forma: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360"/>
      </w:tblGrid>
      <w:tr>
        <w:trPr>
          <w:tblHeader/>
        </w:trPr>
        <w:tc>
          <w:tcPr>
            <w:tcW w:type="dxa" w:w="4800"/>
            <w:tcBorders>
              <w:top w:val="single" w:color="2E4E8B" w:sz="1"/>
              <w:left w:val="single" w:color="2E4E8B" w:sz="1"/>
              <w:bottom w:val="single" w:color="2E4E8B" w:sz="1"/>
              <w:right w:val="single" w:color="2E4E8B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Conclusão do Autor</w:t>
            </w:r>
          </w:p>
        </w:tc>
        <w:tc>
          <w:tcPr>
            <w:tcW w:type="dxa" w:w="4360"/>
            <w:tcBorders>
              <w:top w:val="single" w:color="2E4E8B" w:sz="1"/>
              <w:left w:val="single" w:color="2E4E8B" w:sz="1"/>
              <w:bottom w:val="single" w:color="2E4E8B" w:sz="1"/>
              <w:right w:val="single" w:color="2E4E8B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Não existe técnica universalmente superior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Correto e bem suportado pelos dados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RLM-subagging é 3× mais rápido que RLM-bagging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Bem documentado com figuras de tempo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 beneficia-se do bagging pela complexidade espectral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Justificativa física coerente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RLM-subagging superior para Mn e Ni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⚠️ Melhoria de 0,25% para Ni é marginal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R² &gt; 0,9815 para todos os modelos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Claramente demonstrado na Tabela 11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k* = 80% favorece o subagging em 4/5 elementos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Observação relevante e prática</w:t>
            </w:r>
          </w:p>
        </w:tc>
      </w:tr>
    </w:tbl>
    <w:p>
      <w:pPr>
        <w:spacing w:before="160" w:after="80"/>
      </w:pPr>
    </w:p>
    <w:p>
      <w:pPr>
        <w:pBdr>
          <w:bottom w:val="single" w:color="CCDDEE" w:sz="4" w:space="1"/>
        </w:pBdr>
        <w:spacing w:before="80" w:after="80"/>
      </w:pPr>
    </w:p>
    <w:p>
      <w:pPr>
        <w:pStyle w:val="Heading1"/>
        <w:spacing w:before="320" w:after="160"/>
      </w:pPr>
      <w:r>
        <w:rPr>
          <w:b/>
          <w:bCs/>
          <w:color w:val="1F3A6E"/>
          <w:sz w:val="28"/>
          <w:szCs w:val="28"/>
        </w:rPr>
        <w:t xml:space="preserve">6. Sugestões para Trabalhos Futuros</w:t>
      </w:r>
    </w:p>
    <w:p>
      <w:pPr>
        <w:spacing w:before="120" w:after="120"/>
      </w:pPr>
      <w:r>
        <w:rPr>
          <w:sz w:val="22"/>
          <w:szCs w:val="22"/>
        </w:rPr>
        <w:t xml:space="preserve">Além das extensões propostas pelo próprio autor (PLS, LASSO, redes neurais, boosting, stacking), as seguintes direções seriam particularmente impactantes: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Expansão do conjunto de dados: coletar mais amostras para validar os parâmetros ótimos encontrados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Análise de multicolinearidade nos espectros ICP antes de aplicar RLM — verificar VIF e condição da matriz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Implementação de testes de significância estatística para as diferenças de RMSEP entre técnicas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Comparação direta com PLS e PCR, que são os benchmarks naturais em quimiometria espectral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Explorar a dependência dos resultados em relação à escolha dos comprimentos de onda (seleção de variáveis)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Avaliar a robustez dos modelos na presença de amostras com contaminantes ou matrizes diferentes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Versão em Python/scikit-learn para facilitar reprodutibilidade pela comunidade</w:t>
      </w:r>
    </w:p>
    <w:p>
      <w:pPr>
        <w:spacing w:before="160" w:after="80"/>
      </w:pPr>
    </w:p>
    <w:p>
      <w:pPr>
        <w:pBdr>
          <w:bottom w:val="single" w:color="CCDDEE" w:sz="4" w:space="1"/>
        </w:pBdr>
        <w:spacing w:before="80" w:after="80"/>
      </w:pPr>
    </w:p>
    <w:p>
      <w:pPr>
        <w:pStyle w:val="Heading1"/>
        <w:spacing w:before="320" w:after="160"/>
      </w:pPr>
      <w:r>
        <w:rPr>
          <w:b/>
          <w:bCs/>
          <w:color w:val="1F3A6E"/>
          <w:sz w:val="28"/>
          <w:szCs w:val="28"/>
        </w:rPr>
        <w:t xml:space="preserve">7. Considerações Finais</w:t>
      </w:r>
    </w:p>
    <w:p>
      <w:pPr>
        <w:spacing w:before="120" w:after="120"/>
      </w:pPr>
      <w:r>
        <w:rPr>
          <w:sz w:val="22"/>
          <w:szCs w:val="22"/>
        </w:rPr>
        <w:t xml:space="preserve">O TCC de Wagner Oliveira de Araujo representa um </w:t>
      </w:r>
      <w:r>
        <w:rPr>
          <w:b/>
          <w:bCs/>
          <w:sz w:val="22"/>
          <w:szCs w:val="22"/>
        </w:rPr>
        <w:t xml:space="preserve">trabalho de qualidade sólida para o nível de graduação</w:t>
      </w:r>
      <w:r>
        <w:rPr>
          <w:sz w:val="22"/>
          <w:szCs w:val="22"/>
        </w:rPr>
        <w:t xml:space="preserve">. A combinação de rigor no protocolo experimental, fundamentação teórica adequada e análise honesta dos resultados coloca o trabalho acima da média. A abordagem interdisciplinar — unindo Ciência da Computação, Estatística e Química Analítica — é um diferencial relevante.</w:t>
      </w:r>
    </w:p>
    <w:p>
      <w:pPr>
        <w:spacing w:before="120" w:after="120"/>
      </w:pPr>
      <w:r>
        <w:rPr>
          <w:sz w:val="22"/>
          <w:szCs w:val="22"/>
        </w:rPr>
        <w:t xml:space="preserve">As principais contribuições são: (1) a demonstração de que o RLM-subagging é uma alternativa computacionalmente eficiente ao RLM-bagging para dados espectrométricos; (2) a identificação de que a escolha da técnica ótima depende das características espectrais de cada analito; e (3) a construção de um pipeline completo de calibração multivariada com validação metodologicamente controlada.</w:t>
      </w:r>
    </w:p>
    <w:p>
      <w:pPr>
        <w:spacing w:before="120" w:after="120"/>
      </w:pPr>
      <w:r>
        <w:rPr>
          <w:sz w:val="22"/>
          <w:szCs w:val="22"/>
        </w:rPr>
        <w:t xml:space="preserve">Com as melhorias sugeridas — especialmente a ampliação do conjunto de dados e a inclusão de testes de significância — este trabalho teria potencial para publicação em um periódico de quimiometria ou análise instrumental.</w:t>
      </w:r>
    </w:p>
    <w:p>
      <w:pPr>
        <w:spacing w:before="200" w:after="80"/>
      </w:pPr>
    </w:p>
    <w:p>
      <w:pPr>
        <w:spacing w:before="80" w:after="80"/>
        <w:jc w:val="right"/>
      </w:pPr>
      <w:r>
        <w:rPr>
          <w:i/>
          <w:iCs/>
          <w:color w:val="888888"/>
          <w:sz w:val="18"/>
          <w:szCs w:val="18"/>
        </w:rPr>
        <w:t xml:space="preserve">Análise elaborada em março de 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A6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99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2026-03-06T02:47:56.708Z</dcterms:created>
  <dcterms:modified xsi:type="dcterms:W3CDTF">2026-03-06T02:47:56.709Z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