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UNDERSTANDING A STATEMENT OF FINANCIAL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Balance Sheet shows a list of values of all the things a firm owns (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ASSETS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), and a list of the monies that a firm owes to others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LIABILITIES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).  Although it might sound unlikely at first, assets and liabilities will equal each other on a balance sheet.  A balance sheet is one of the most important documents that a firm produces as it can tell us a lot about how much money the firm is worth, and the state of its financial health.  Which groups of people would find Tolly’s Toys’ balance sheet useful?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76200</wp:posOffset>
                </wp:positionV>
                <wp:extent cx="6777990" cy="4826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61768" y="3543463"/>
                          <a:ext cx="676846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76200</wp:posOffset>
                </wp:positionV>
                <wp:extent cx="6777990" cy="482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Ind w:w="0.0" w:type="dxa"/>
        <w:tblLayout w:type="fixed"/>
        <w:tblLook w:val="0000"/>
      </w:tblPr>
      <w:tblGrid>
        <w:gridCol w:w="5778"/>
        <w:gridCol w:w="3402"/>
        <w:gridCol w:w="993"/>
        <w:tblGridChange w:id="0">
          <w:tblGrid>
            <w:gridCol w:w="5778"/>
            <w:gridCol w:w="3402"/>
            <w:gridCol w:w="993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Use the space to explain what is meant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Tolly’s Toys at 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March 2010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Fixed Assets?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Fixed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£</w:t>
            </w:r>
          </w:p>
        </w:tc>
      </w:tr>
      <w:t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Buildings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Motor Vehicles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2,000</w:t>
            </w:r>
          </w:p>
          <w:p w:rsidR="00000000" w:rsidDel="00000000" w:rsidP="00000000" w:rsidRDefault="00000000" w:rsidRPr="00000000" w14:paraId="00000012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750</w:t>
            </w:r>
          </w:p>
        </w:tc>
      </w:tr>
      <w:t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2750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Current Assets?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Current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Stocks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Debtors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Cash in bank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Cash in firm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400</w:t>
            </w:r>
          </w:p>
          <w:p w:rsidR="00000000" w:rsidDel="00000000" w:rsidP="00000000" w:rsidRDefault="00000000" w:rsidRPr="00000000" w14:paraId="0000001F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1,200</w:t>
            </w:r>
          </w:p>
          <w:p w:rsidR="00000000" w:rsidDel="00000000" w:rsidP="00000000" w:rsidRDefault="00000000" w:rsidRPr="00000000" w14:paraId="00000020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40</w:t>
            </w:r>
          </w:p>
        </w:tc>
      </w:tr>
      <w:t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1,760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Current Liabilities?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Current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Creditors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900</w:t>
            </w:r>
          </w:p>
          <w:p w:rsidR="00000000" w:rsidDel="00000000" w:rsidP="00000000" w:rsidRDefault="00000000" w:rsidRPr="00000000" w14:paraId="0000002B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Long Term Liabilities?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Long Term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Bank loan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3"/>
              <w:rPr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Fill in the figures on the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1,000</w:t>
            </w:r>
          </w:p>
          <w:p w:rsidR="00000000" w:rsidDel="00000000" w:rsidP="00000000" w:rsidRDefault="00000000" w:rsidRPr="00000000" w14:paraId="00000035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Working Capital? (Also known as Net Current Assets)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Value of Working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3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 Creditor?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Total Assets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Minus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Total Liabilities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 Debtor?</w:t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The firm is worth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Financed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(Where the money has come from)</w:t>
            </w:r>
          </w:p>
        </w:tc>
      </w:tr>
      <w:t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Capital (money to start the firm)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2,100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Profit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510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baseline"/>
                <w:rtl w:val="0"/>
              </w:rPr>
              <w:t xml:space="preserve">Total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vertAlign w:val="baseline"/>
        </w:rPr>
        <w:sectPr>
          <w:pgSz w:h="16838" w:w="11906"/>
          <w:pgMar w:bottom="720" w:top="567" w:left="851" w:right="851" w:header="720" w:footer="720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Sometimes, a Balance Sheet is written in a ‘side by side’ style.  Use this approach to get both sides of the balance sheet to balance, by putting assets and liabilities in the correct column.  Remember that if a firm owes something, then it is a liability, even if it owes it to the owner (for example, the case of profit).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7.0" w:type="dxa"/>
        <w:jc w:val="left"/>
        <w:tblInd w:w="0.0" w:type="dxa"/>
        <w:tblLayout w:type="fixed"/>
        <w:tblLook w:val="0000"/>
      </w:tblPr>
      <w:tblGrid>
        <w:gridCol w:w="3956"/>
        <w:gridCol w:w="1198"/>
        <w:gridCol w:w="3931"/>
        <w:gridCol w:w="1222"/>
        <w:tblGridChange w:id="0">
          <w:tblGrid>
            <w:gridCol w:w="3956"/>
            <w:gridCol w:w="1198"/>
            <w:gridCol w:w="3931"/>
            <w:gridCol w:w="1222"/>
          </w:tblGrid>
        </w:tblGridChange>
      </w:tblGrid>
      <w:tr>
        <w:trPr>
          <w:trHeight w:val="272" w:hRule="atLeast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90" w:hRule="atLeast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7" w:hRule="atLeast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Total Assets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£4,510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Total Liabilities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£4,510</w:t>
            </w:r>
          </w:p>
        </w:tc>
      </w:tr>
    </w:tbl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10236200</wp:posOffset>
                </wp:positionV>
                <wp:extent cx="1381125" cy="2838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60200" y="3642840"/>
                          <a:ext cx="13716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© Holdsworth Associates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10236200</wp:posOffset>
                </wp:positionV>
                <wp:extent cx="1381125" cy="2838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283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38" w:w="11906"/>
      <w:pgMar w:bottom="720" w:top="567" w:left="851" w:right="851" w:header="720" w:footer="72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</w:pPr>
    <w:rPr>
      <w:rFonts w:ascii="Times New Roman" w:cs="Times New Roman" w:eastAsia="Times New Roman" w:hAnsi="Times New Roman"/>
      <w:i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