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59" w:lineRule="auto"/>
        <w:contextualSpacing w:val="0"/>
      </w:pPr>
      <w:r w:rsidDel="00000000" w:rsidR="00000000" w:rsidRPr="00000000">
        <w:rPr>
          <w:rtl w:val="0"/>
        </w:rPr>
        <w:t xml:space="preserve">Compare the ways poets present ideas about identity in ‘Checking Out Me History’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Wha dem want to tell 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Bandage up me eye with me own history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Blind me to me own identity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1066 and all dat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Dick Whittington and he cat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Toussaint L’Ouverture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 dem never tell me bout dat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Toussaint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slave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vision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lick back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Napoleon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battalion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first Black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Republic born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Toussaint de thorn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de French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Toussaint de beacon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de Haitian Revolution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de man who discover de balloon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de cow who jump over de moon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de dish ran away with de spoon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dem never tell me bout Nanny de maroon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Nanny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see-far woman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mountain dream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fire-woman struggle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hopeful stream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freedom river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Lord Nelson and Waterloo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dem never tell me bout Shaka de great Zulu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Columbus and 1492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what happen to de Caribs and de Arawaks too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Florence Nightingale and she lamp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how Robin Hood used to camp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bout ole King Cole was a merry ole soul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dem never tell me bout Mary Seacole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From Jamaica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she travel far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the Crimean War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she volunteer to go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even when de British said no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she still brave the Russian snow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healing star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among the wounded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yellow sunrise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the dying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Dem tell me wha dem want to tell 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now I checking out me own history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carving out me identity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