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1: General Knowledge Questions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difference between a fixed asset and a current asset? (4 marks)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difference between current liabilities and long term liabilities? (4 marks)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creditor? (2 marks)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working capital and how is it calculated? (4 marks)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net assets employed and how is it calculated? (4 marks)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capital employed? (2 marks)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2: Example Balance Sheet </w:t>
      </w:r>
    </w:p>
    <w:tbl>
      <w:tblPr>
        <w:tblStyle w:val="Table1"/>
        <w:tblW w:w="10260.0" w:type="dxa"/>
        <w:jc w:val="left"/>
        <w:tblInd w:w="93.0" w:type="dxa"/>
        <w:tblLayout w:type="fixed"/>
        <w:tblLook w:val="0400"/>
      </w:tblPr>
      <w:tblGrid>
        <w:gridCol w:w="2805"/>
        <w:gridCol w:w="1350"/>
        <w:gridCol w:w="1260"/>
        <w:gridCol w:w="630"/>
        <w:gridCol w:w="1530"/>
        <w:gridCol w:w="1260"/>
        <w:gridCol w:w="1425"/>
        <w:tblGridChange w:id="0">
          <w:tblGrid>
            <w:gridCol w:w="2805"/>
            <w:gridCol w:w="1350"/>
            <w:gridCol w:w="1260"/>
            <w:gridCol w:w="630"/>
            <w:gridCol w:w="1530"/>
            <w:gridCol w:w="1260"/>
            <w:gridCol w:w="1425"/>
          </w:tblGrid>
        </w:tblGridChange>
      </w:tblGrid>
      <w:tr>
        <w:trPr>
          <w:trHeight w:val="360" w:hRule="atLeast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 the balance sheet for the business for 2011 and 2012. (12 marks)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which year do you think their balance sheet is better? Explain your answer. (8 marks)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72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Fixed 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Premises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74,000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2" w:hRule="atLeast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Current 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Debtors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Cash at 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bottom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59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Current Liabilities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Overdraft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Creditors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Working Capital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color w:val="c0c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Net 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bottom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color w:val="c0c0c0"/>
              </w:rPr>
            </w:pPr>
            <w:r w:rsidDel="00000000" w:rsidR="00000000" w:rsidRPr="00000000">
              <w:rPr>
                <w:color w:val="c0c0c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7" w:hRule="atLeast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Financed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Owners Capital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8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Capital Employed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