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Cash Flow Forecast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3728720</wp:posOffset>
            </wp:positionH>
            <wp:positionV relativeFrom="paragraph">
              <wp:posOffset>0</wp:posOffset>
            </wp:positionV>
            <wp:extent cx="2459990" cy="1638300"/>
            <wp:effectExtent b="0" l="0" r="0" t="0"/>
            <wp:wrapSquare wrapText="bothSides" distB="0" distT="0" distL="114300" distR="114300"/>
            <wp:docPr descr="Image result for florists cartoon" id="1" name="image1.jpg"/>
            <a:graphic>
              <a:graphicData uri="http://schemas.openxmlformats.org/drawingml/2006/picture">
                <pic:pic>
                  <pic:nvPicPr>
                    <pic:cNvPr descr="Image result for florists cartoon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Isabella’s florist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Use the information below to complete the Cash Flow Forecast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opening Balance at the start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£500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grant is given for £1500 at the start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Florist sales: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February = £3,500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March = £800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April = £1,500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- May = £2,870</w:t>
        <w:tab/>
        <w:tab/>
        <w:tab/>
        <w:tab/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Rent is £300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each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Wages are £450 each month except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they are £1200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9.0" w:type="dxa"/>
        <w:jc w:val="left"/>
        <w:tblInd w:w="0.0" w:type="dxa"/>
        <w:tblLayout w:type="fixed"/>
        <w:tblLook w:val="0400"/>
      </w:tblPr>
      <w:tblGrid>
        <w:gridCol w:w="2608"/>
        <w:gridCol w:w="1284"/>
        <w:gridCol w:w="1140"/>
        <w:gridCol w:w="986"/>
        <w:gridCol w:w="1036"/>
        <w:gridCol w:w="935"/>
        <w:gridCol w:w="1050"/>
        <w:tblGridChange w:id="0">
          <w:tblGrid>
            <w:gridCol w:w="2608"/>
            <w:gridCol w:w="1284"/>
            <w:gridCol w:w="1140"/>
            <w:gridCol w:w="986"/>
            <w:gridCol w:w="1036"/>
            <w:gridCol w:w="935"/>
            <w:gridCol w:w="1050"/>
          </w:tblGrid>
        </w:tblGridChange>
      </w:tblGrid>
      <w:tr>
        <w:trPr>
          <w:trHeight w:val="35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£ February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£ March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£ April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£ May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£ June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£ July</w:t>
            </w:r>
          </w:p>
        </w:tc>
      </w:tr>
      <w:tr>
        <w:trPr>
          <w:trHeight w:val="319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 Grant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trHeight w:val="319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 Sales of DVD’s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2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TOTAL RECEIPTS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2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9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 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9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 Wages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9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 Heating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2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TOTAL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94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2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NET CASH FLOW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2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OPENING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52" w:hRule="atLeast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CLOSING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99cc" w:val="clear"/>
            <w:vAlign w:val="bottom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Heating is £550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each month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pos="162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pos="16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>
        <w:tc>
          <w:tcPr>
            <w:shd w:fill="00b0f0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Outflow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expenses added together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Net Cash flow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Inflows minus outflows (Inflow-outflow)</w:t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Receipts minus payments</w:t>
            </w:r>
          </w:p>
        </w:tc>
      </w:tr>
      <w:tr>
        <w:tc>
          <w:tcPr>
            <w:shd w:fill="ff0000" w:val="clea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Opening Bank Balance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 the closing bank balance of the previous month</w:t>
            </w:r>
          </w:p>
        </w:tc>
      </w:tr>
      <w:tr>
        <w:tc>
          <w:tcPr>
            <w:shd w:fill="ffc000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Closing Bank Balance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Opening bank balance + Net cash flow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urier" w:cs="Courier" w:eastAsia="Courier" w:hAnsi="Courier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