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59" w:lineRule="auto"/>
        <w:contextualSpacing w:val="0"/>
      </w:pPr>
      <w:r w:rsidDel="00000000" w:rsidR="00000000" w:rsidRPr="00000000">
        <w:rPr>
          <w:rtl w:val="0"/>
        </w:rPr>
        <w:t xml:space="preserve">Compare the ways poets present attitudes to status and reputation in ‘Kamikaze’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82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tblGridChange w:id="0">
          <w:tblGrid>
            <w:gridCol w:w="68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Her father embarked at sunrise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 a flask of water, a samurai sword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 the cockpit, a shaven head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full of powerful incantations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enough fuel for a one-way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journey into history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half way there, she thought,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recounting it later to her children,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he must have looked far down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 the little fishing boats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strung out like bunting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on a green-blue translucent sea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beneath them, arcing in swathes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like a huge flag waved first one way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then the other in a figure of eight,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dark shoals of fishes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flashing silver as their bellies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swivelled towards the sun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remembered how he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his brothers waiting on the shore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built cairns of pearl-grey pebbles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 see whose withstood longest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turbulent inrush of breakers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bringing their father’s boat safe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- yes, grandfather’s boat – safe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 the shore, salt-sodden, awash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 cloud-marked mackerel,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black crabs, feathery prawns,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loose silver of whitebait and once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 tuna, the dark prince, muscular, dangerous.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though he came back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mother never spoke again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 his presence, nor did she meet his eyes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the neighbours too, they treated him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as though he no longer existed,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only we children still chattered and laughed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till gradually we too learned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 be silent, to live as though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he had never returned, that this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was no longer the father we loved.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sometimes, she said, he must have wondered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which had been the better way to die.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