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both"/>
      </w:pPr>
      <w:r w:rsidDel="00000000" w:rsidR="00000000" w:rsidRPr="00000000">
        <w:rPr>
          <w:rtl w:val="0"/>
        </w:rPr>
        <w:t xml:space="preserve">Compare the ways poets present ideas about anger in ‘London’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225.0" w:type="dxa"/>
        <w:jc w:val="left"/>
        <w:tblInd w:w="22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25"/>
        <w:tblGridChange w:id="0">
          <w:tblGrid>
            <w:gridCol w:w="62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 wander through each chartered street,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Near where the chartered Thames does flow,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mark in every face I meet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Marks of weakness, marks of woe.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 every cry of every man,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 every infant’s cry of fear,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 every voice, in every ban,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mind-forged manacles I hear: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How the chimney-sweeper’s cry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Every black’ning church appalls,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the hapless soldier’s sigh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Runs in blood down palace walls.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most through midnight streets I hear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How the youthful harlot’s curse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Blasts the new-born infant’s tear,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blights with plagues the marriage hearse.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