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4320" w:firstLine="720"/>
        <w:rPr>
          <w:rFonts w:ascii="Calibri" w:cs="Calibri" w:eastAsia="Calibri" w:hAnsi="Calibri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5.0" w:type="dxa"/>
        <w:jc w:val="left"/>
        <w:tblInd w:w="0.0" w:type="dxa"/>
        <w:tblLayout w:type="fixed"/>
        <w:tblLook w:val="0000"/>
      </w:tblPr>
      <w:tblGrid>
        <w:gridCol w:w="6629"/>
        <w:gridCol w:w="2268"/>
        <w:gridCol w:w="2268"/>
        <w:tblGridChange w:id="0">
          <w:tblGrid>
            <w:gridCol w:w="6629"/>
            <w:gridCol w:w="2268"/>
            <w:gridCol w:w="2268"/>
          </w:tblGrid>
        </w:tblGridChange>
      </w:tblGrid>
      <w:tr>
        <w:trPr>
          <w:trHeight w:val="84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when a share in the business is sold to an individual or another business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a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Bank Loan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1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a non-repayable sum of money given to businesses to help finance new projects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Selling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5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money borrowed from the bank then repaid (with interest) over a period of time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a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Government 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54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money put into the business by the owner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 Retained 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when the supplier allows you a period of time (such as 30 days) to pay for goods and services. Bought from suppliers on a ‘buy now pay later’ basis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Venture Capital</w:t>
            </w: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  </w:t>
            </w:r>
          </w:p>
        </w:tc>
      </w:tr>
      <w:tr>
        <w:trPr>
          <w:trHeight w:val="69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when items owned by the business are sold to raise money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Trade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7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money kept in the business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Leasing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6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when the business rents equipment from other companies rather than buying them.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Owners Savings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4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when investors buy shares in small, risky, growing businesses (like the dragons - Dragons Den)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omic Sans MS" w:cs="Comic Sans MS" w:eastAsia="Comic Sans MS" w:hAnsi="Comic Sans MS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vertAlign w:val="baseline"/>
                <w:rtl w:val="0"/>
              </w:rPr>
              <w:t xml:space="preserve">Share Capital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vertAlign w:val="baseline"/>
          <w:rtl w:val="0"/>
        </w:rPr>
        <w:t xml:space="preserve">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2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7"/>
        <w:gridCol w:w="3420"/>
        <w:gridCol w:w="3848"/>
        <w:tblGridChange w:id="0">
          <w:tblGrid>
            <w:gridCol w:w="3957"/>
            <w:gridCol w:w="3420"/>
            <w:gridCol w:w="3848"/>
          </w:tblGrid>
        </w:tblGridChange>
      </w:tblGrid>
      <w:tr>
        <w:trPr>
          <w:trHeight w:val="429" w:hRule="atLeast"/>
        </w:trPr>
        <w:tc>
          <w:tcPr>
            <w:gridSpan w:val="3"/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Sources of Finance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Small 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Large 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9" w:hRule="atLeast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720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