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59" w:lineRule="auto"/>
        <w:contextualSpacing w:val="0"/>
      </w:pPr>
      <w:r w:rsidDel="00000000" w:rsidR="00000000" w:rsidRPr="00000000">
        <w:rPr>
          <w:rtl w:val="0"/>
        </w:rPr>
        <w:t xml:space="preserve">Compare the ways poets present the power of humans in ‘Tissue’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82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Paper that lets the light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shine through, this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is what could alter things.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Paper thinned by age or touching,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kind you find in well-used books,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back of the Koran, where a hand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has written in the names and histories,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who was born to whom,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height and weight, who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died where and how, on which sepia date,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pages smoothed and stroked and turned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transparent with attention.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If buildings were paper, I might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feel their drift, see how easily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they fall away on a sigh, a shift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 the direction of the wind.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Maps too. The sun shines through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their borderlines, the marks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that rivers make, roads,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railtracks, mountainfolds,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Fine slips from grocery shops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that say how much was sold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what was paid by credit card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might fly our lives like paper kites.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 architect could use all this,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place layer over layer, luminous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script over numbers over line,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never wish to build again with brick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or block, but let the daylight break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through capitals and monoliths,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through the shapes that pride can make,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find a way to trace a grand design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living tissue, raise a structure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never meant to last,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paper smoothed and stroked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thinned to be transparent,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turned into your skin.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