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both"/>
      </w:pPr>
      <w:r w:rsidDel="00000000" w:rsidR="00000000" w:rsidRPr="00000000">
        <w:rPr>
          <w:rtl w:val="0"/>
        </w:rPr>
        <w:t xml:space="preserve">Compare the ways poets present the consequences of conflict and war in ‘Bayonet Charge’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82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tblGridChange w:id="0">
          <w:tblGrid>
            <w:gridCol w:w="68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Suddenly he awoke and was running – raw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 raw-seamed hot khaki, his sweat heavy,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Stumbling across a field of clods towards a green hedge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That dazzled with rifle fire, hearing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Bullets smacking the belly out of the air –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He lugged a rifle numb as a smashed arm;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patriotic tear that had brimmed in his eye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Sweating like molten iron from the centre of his chest, –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 bewilderment then he almost stopped –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In what cold clockwork of the stars and the nations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Was he the hand pointing that second? He was running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Like a man who has jumped up in the dark and runs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Listening between his footfalls for the reason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his still running, and his foot hung like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Statuary in mid-stride. Then the shot-slashed furrows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Threw up a yellow hare that rolled like a flame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crawled in a threshing circle, its mouth wide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Open silent, its eyes standing out.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He plunged past with his bayonet toward the green hedge,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King, honour, human dignity, etcetera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Dropped like luxuries in a yelling alarm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 get out of that blue crackling air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His terror’s touchy dynamite.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