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jc w:val="center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UNDERSTANDING A STATEMENT OF FINANCIAL 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A Balance Sheet shows a list of values of all the things a firm owns (</w:t>
      </w:r>
      <w:r w:rsidDel="00000000" w:rsidR="00000000" w:rsidRPr="00000000">
        <w:rPr>
          <w:rFonts w:ascii="Times New Roman" w:cs="Times New Roman" w:eastAsia="Times New Roman" w:hAnsi="Times New Roman"/>
          <w:b w:val="1"/>
          <w:vertAlign w:val="baseline"/>
          <w:rtl w:val="0"/>
        </w:rPr>
        <w:t xml:space="preserve">ASSETS</w:t>
      </w: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), and a list of the monies that a firm owes to others (</w:t>
      </w:r>
      <w:r w:rsidDel="00000000" w:rsidR="00000000" w:rsidRPr="00000000">
        <w:rPr>
          <w:rFonts w:ascii="Times New Roman" w:cs="Times New Roman" w:eastAsia="Times New Roman" w:hAnsi="Times New Roman"/>
          <w:b w:val="1"/>
          <w:vertAlign w:val="baseline"/>
          <w:rtl w:val="0"/>
        </w:rPr>
        <w:t xml:space="preserve">LIABILITIES</w:t>
      </w: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).  Although it might sound unlikely at first, assets and liabilities will equal each other on a balance sheet.  A balance sheet is one of the most important documents that a firm produces as it can tell us a lot about how much money the firm is worth, and the state of its financial health.  Which groups of people would find Tolly’s Toys’ balance sheet useful?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-165099</wp:posOffset>
                </wp:positionH>
                <wp:positionV relativeFrom="paragraph">
                  <wp:posOffset>76200</wp:posOffset>
                </wp:positionV>
                <wp:extent cx="6777990" cy="48260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7990" cy="482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-165099</wp:posOffset>
                </wp:positionH>
                <wp:positionV relativeFrom="paragraph">
                  <wp:posOffset>76200</wp:posOffset>
                </wp:positionV>
                <wp:extent cx="6777990" cy="4826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7990" cy="482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73.0" w:type="dxa"/>
        <w:jc w:val="left"/>
        <w:tblInd w:w="0.0" w:type="dxa"/>
        <w:tblLayout w:type="fixed"/>
        <w:tblLook w:val="0000"/>
      </w:tblPr>
      <w:tblGrid>
        <w:gridCol w:w="5778"/>
        <w:gridCol w:w="3402"/>
        <w:gridCol w:w="993"/>
        <w:tblGridChange w:id="0">
          <w:tblGrid>
            <w:gridCol w:w="5778"/>
            <w:gridCol w:w="3402"/>
            <w:gridCol w:w="993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Use the space to explain what is meant by: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Tolly’s Toys at 25</w:t>
            </w:r>
            <w:r w:rsidDel="00000000" w:rsidR="00000000" w:rsidRPr="00000000">
              <w:rPr>
                <w:rFonts w:ascii="Times New Roman" w:cs="Times New Roman" w:eastAsia="Times New Roman" w:hAnsi="Times New Roman"/>
                <w:vertAlign w:val="superscript"/>
                <w:rtl w:val="0"/>
              </w:rPr>
              <w:t xml:space="preserve">th</w:t>
            </w: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 March 2010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Fixed Assets?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C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Fixed Assets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£</w:t>
            </w:r>
          </w:p>
        </w:tc>
      </w:tr>
      <w:t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Buildings</w:t>
            </w:r>
          </w:p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Motor Vehicles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1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2,000</w:t>
            </w:r>
          </w:p>
          <w:p w:rsidR="00000000" w:rsidDel="00000000" w:rsidP="00000000" w:rsidRDefault="00000000" w:rsidRPr="00000000" w14:paraId="00000012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750</w:t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015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2750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Current Assets?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Current Assets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Stocks</w:t>
            </w:r>
          </w:p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Debtors</w:t>
            </w:r>
          </w:p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Cash in bank</w:t>
            </w:r>
          </w:p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Cash in firm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1E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400</w:t>
            </w:r>
          </w:p>
          <w:p w:rsidR="00000000" w:rsidDel="00000000" w:rsidP="00000000" w:rsidRDefault="00000000" w:rsidRPr="00000000" w14:paraId="0000001F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1,200</w:t>
            </w:r>
          </w:p>
          <w:p w:rsidR="00000000" w:rsidDel="00000000" w:rsidP="00000000" w:rsidRDefault="00000000" w:rsidRPr="00000000" w14:paraId="00000020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120</w:t>
            </w:r>
          </w:p>
          <w:p w:rsidR="00000000" w:rsidDel="00000000" w:rsidP="00000000" w:rsidRDefault="00000000" w:rsidRPr="00000000" w14:paraId="00000021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40</w:t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1,760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Current Liabilities?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Current Liabilities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Creditors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900</w:t>
            </w:r>
          </w:p>
          <w:p w:rsidR="00000000" w:rsidDel="00000000" w:rsidP="00000000" w:rsidRDefault="00000000" w:rsidRPr="00000000" w14:paraId="0000002B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Long Term Liabilities?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Long Term Liabilities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Bank loan</w:t>
            </w:r>
          </w:p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pStyle w:val="Heading3"/>
              <w:rPr>
                <w:vertAlign w:val="baseline"/>
              </w:rPr>
            </w:pPr>
            <w:r w:rsidDel="00000000" w:rsidR="00000000" w:rsidRPr="00000000">
              <w:rPr>
                <w:i w:val="1"/>
                <w:vertAlign w:val="baseline"/>
                <w:rtl w:val="0"/>
              </w:rPr>
              <w:t xml:space="preserve">Fill in the figures on the lines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1,000</w:t>
            </w:r>
          </w:p>
          <w:p w:rsidR="00000000" w:rsidDel="00000000" w:rsidP="00000000" w:rsidRDefault="00000000" w:rsidRPr="00000000" w14:paraId="00000035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Working Capital? (Also known as Net Current Assets)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vertAlign w:val="baseline"/>
                <w:rtl w:val="0"/>
              </w:rPr>
              <w:t xml:space="preserve">Value of Working Capital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9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30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3B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 Creditor?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Total Assets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F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Minus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Total Liabilities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5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 Debtor?</w:t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4A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The firm is worth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vertAlign w:val="baseline"/>
                <w:rtl w:val="0"/>
              </w:rPr>
              <w:t xml:space="preserve">Financed by: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(Where the money has come from)</w:t>
            </w:r>
          </w:p>
        </w:tc>
      </w:tr>
      <w:t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Capital (money to start the firm)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2,100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Profit</w:t>
            </w:r>
          </w:p>
        </w:tc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55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510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b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vertAlign w:val="baseline"/>
                <w:rtl w:val="0"/>
              </w:rPr>
              <w:t xml:space="preserve">Total =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jc w:val="right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vertAlign w:val="baseline"/>
        </w:rPr>
        <w:sectPr>
          <w:pgSz w:h="16838" w:w="11906"/>
          <w:pgMar w:bottom="720" w:top="567" w:left="851" w:right="851" w:header="720" w:footer="720"/>
          <w:pgNumType w:start="1"/>
          <w:cols w:equalWidth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Sometimes, a Balance Sheet is written in a ‘side by side’ style.  Use this approach to get both sides of the balance sheet to balance, by putting assets and liabilities in the correct column.  Remember that if a firm owes something, then it is a liability, even if it owes it to the owner (for example, the case of profit).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07.0" w:type="dxa"/>
        <w:jc w:val="left"/>
        <w:tblInd w:w="0.0" w:type="dxa"/>
        <w:tblLayout w:type="fixed"/>
        <w:tblLook w:val="0000"/>
      </w:tblPr>
      <w:tblGrid>
        <w:gridCol w:w="3956"/>
        <w:gridCol w:w="1198"/>
        <w:gridCol w:w="3931"/>
        <w:gridCol w:w="1222"/>
        <w:tblGridChange w:id="0">
          <w:tblGrid>
            <w:gridCol w:w="3956"/>
            <w:gridCol w:w="1198"/>
            <w:gridCol w:w="3931"/>
            <w:gridCol w:w="1222"/>
          </w:tblGrid>
        </w:tblGridChange>
      </w:tblGrid>
      <w:tr>
        <w:trPr>
          <w:trHeight w:val="272" w:hRule="atLeast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Assets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Liabilities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390" w:hRule="atLeast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87" w:hRule="atLeast"/>
        </w:trPr>
        <w:tc>
          <w:tcPr>
            <w:vAlign w:val="top"/>
          </w:tcPr>
          <w:p w:rsidR="00000000" w:rsidDel="00000000" w:rsidP="00000000" w:rsidRDefault="00000000" w:rsidRPr="00000000" w14:paraId="00000068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Total Assets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£4,510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Total Liabilities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£4,510</w:t>
            </w:r>
          </w:p>
        </w:tc>
      </w:tr>
    </w:tbl>
    <w:p w:rsidR="00000000" w:rsidDel="00000000" w:rsidP="00000000" w:rsidRDefault="00000000" w:rsidRPr="00000000" w14:paraId="0000006C">
      <w:pPr>
        <w:rPr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4914900</wp:posOffset>
                </wp:positionH>
                <wp:positionV relativeFrom="paragraph">
                  <wp:posOffset>10236200</wp:posOffset>
                </wp:positionV>
                <wp:extent cx="1381125" cy="28384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1125" cy="283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4914900</wp:posOffset>
                </wp:positionH>
                <wp:positionV relativeFrom="paragraph">
                  <wp:posOffset>10236200</wp:posOffset>
                </wp:positionV>
                <wp:extent cx="1381125" cy="28384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1125" cy="283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type w:val="continuous"/>
      <w:pgSz w:h="16838" w:w="11906"/>
      <w:pgMar w:bottom="720" w:top="567" w:left="851" w:right="851" w:header="720" w:footer="720"/>
      <w:cols w:equalWidth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Times" w:cs="Times" w:eastAsia="Times" w:hAnsi="Times"/>
        <w:sz w:val="24"/>
        <w:szCs w:val="24"/>
        <w:lang w:val="en-GB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Times New Roman" w:cs="Times New Roman" w:eastAsia="Times New Roman" w:hAnsi="Times New Roman"/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</w:pPr>
    <w:rPr>
      <w:rFonts w:ascii="Times New Roman" w:cs="Times New Roman" w:eastAsia="Times New Roman" w:hAnsi="Times New Roman"/>
      <w:b w:val="1"/>
      <w:sz w:val="24"/>
      <w:szCs w:val="24"/>
      <w:vertAlign w:val="baseline"/>
    </w:rPr>
  </w:style>
  <w:style w:type="paragraph" w:styleId="Heading3">
    <w:name w:val="heading 3"/>
    <w:basedOn w:val="Normal"/>
    <w:next w:val="Normal"/>
    <w:pPr>
      <w:keepNext w:val="1"/>
    </w:pPr>
    <w:rPr>
      <w:rFonts w:ascii="Times New Roman" w:cs="Times New Roman" w:eastAsia="Times New Roman" w:hAnsi="Times New Roman"/>
      <w:i w:val="1"/>
      <w:sz w:val="24"/>
      <w:szCs w:val="24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