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Comic Sans MS" w:cs="Comic Sans MS" w:eastAsia="Comic Sans MS" w:hAnsi="Comic Sans MS"/>
          <w:b w:val="0"/>
          <w:vertAlign w:val="baseline"/>
        </w:rPr>
      </w:pPr>
      <w:r w:rsidDel="00000000" w:rsidR="00000000" w:rsidRPr="00000000">
        <w:rPr>
          <w:rtl w:val="0"/>
        </w:rPr>
      </w:r>
    </w:p>
    <w:tbl>
      <w:tblPr>
        <w:tblStyle w:val="Table1"/>
        <w:tblW w:w="6588.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60"/>
        <w:gridCol w:w="1260"/>
        <w:gridCol w:w="1228"/>
        <w:gridCol w:w="1440"/>
        <w:tblGridChange w:id="0">
          <w:tblGrid>
            <w:gridCol w:w="2660"/>
            <w:gridCol w:w="1260"/>
            <w:gridCol w:w="1228"/>
            <w:gridCol w:w="1440"/>
          </w:tblGrid>
        </w:tblGridChange>
      </w:tblGrid>
      <w:tr>
        <w:tc>
          <w:tcPr>
            <w:vAlign w:val="top"/>
          </w:tcPr>
          <w:p w:rsidR="00000000" w:rsidDel="00000000" w:rsidP="00000000" w:rsidRDefault="00000000" w:rsidRPr="00000000" w14:paraId="00000002">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Items</w:t>
            </w:r>
            <w:r w:rsidDel="00000000" w:rsidR="00000000" w:rsidRPr="00000000">
              <w:rPr>
                <w:rtl w:val="0"/>
              </w:rPr>
            </w:r>
          </w:p>
        </w:tc>
        <w:tc>
          <w:tcPr>
            <w:vAlign w:val="top"/>
          </w:tcPr>
          <w:p w:rsidR="00000000" w:rsidDel="00000000" w:rsidP="00000000" w:rsidRDefault="00000000" w:rsidRPr="00000000" w14:paraId="00000003">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Jan (£)</w:t>
            </w:r>
            <w:r w:rsidDel="00000000" w:rsidR="00000000" w:rsidRPr="00000000">
              <w:rPr>
                <w:rtl w:val="0"/>
              </w:rPr>
            </w:r>
          </w:p>
        </w:tc>
        <w:tc>
          <w:tcPr>
            <w:vAlign w:val="top"/>
          </w:tcPr>
          <w:p w:rsidR="00000000" w:rsidDel="00000000" w:rsidP="00000000" w:rsidRDefault="00000000" w:rsidRPr="00000000" w14:paraId="00000004">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Feb (£)</w:t>
            </w:r>
            <w:r w:rsidDel="00000000" w:rsidR="00000000" w:rsidRPr="00000000">
              <w:rPr>
                <w:rtl w:val="0"/>
              </w:rPr>
            </w:r>
          </w:p>
        </w:tc>
        <w:tc>
          <w:tcPr>
            <w:vAlign w:val="top"/>
          </w:tcPr>
          <w:p w:rsidR="00000000" w:rsidDel="00000000" w:rsidP="00000000" w:rsidRDefault="00000000" w:rsidRPr="00000000" w14:paraId="00000005">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Mar (£)</w:t>
            </w:r>
            <w:r w:rsidDel="00000000" w:rsidR="00000000" w:rsidRPr="00000000">
              <w:rPr>
                <w:rtl w:val="0"/>
              </w:rPr>
            </w:r>
          </w:p>
        </w:tc>
      </w:tr>
      <w:tr>
        <w:tc>
          <w:tcPr>
            <w:vAlign w:val="top"/>
          </w:tcPr>
          <w:p w:rsidR="00000000" w:rsidDel="00000000" w:rsidP="00000000" w:rsidRDefault="00000000" w:rsidRPr="00000000" w14:paraId="0000000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Opening bank balance</w:t>
            </w:r>
          </w:p>
        </w:tc>
        <w:tc>
          <w:tcPr>
            <w:vAlign w:val="top"/>
          </w:tcPr>
          <w:p w:rsidR="00000000" w:rsidDel="00000000" w:rsidP="00000000" w:rsidRDefault="00000000" w:rsidRPr="00000000" w14:paraId="0000000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c>
          <w:tcPr>
            <w:vAlign w:val="top"/>
          </w:tcPr>
          <w:p w:rsidR="00000000" w:rsidDel="00000000" w:rsidP="00000000" w:rsidRDefault="00000000" w:rsidRPr="00000000" w14:paraId="0000000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0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r>
      <w:tr>
        <w:tc>
          <w:tcPr>
            <w:vAlign w:val="top"/>
          </w:tcPr>
          <w:p w:rsidR="00000000" w:rsidDel="00000000" w:rsidP="00000000" w:rsidRDefault="00000000" w:rsidRPr="00000000" w14:paraId="0000000A">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receipts</w:t>
            </w:r>
          </w:p>
        </w:tc>
        <w:tc>
          <w:tcPr>
            <w:vAlign w:val="top"/>
          </w:tcPr>
          <w:p w:rsidR="00000000" w:rsidDel="00000000" w:rsidP="00000000" w:rsidRDefault="00000000" w:rsidRPr="00000000" w14:paraId="0000000B">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w:t>
            </w:r>
          </w:p>
        </w:tc>
        <w:tc>
          <w:tcPr>
            <w:vAlign w:val="top"/>
          </w:tcPr>
          <w:p w:rsidR="00000000" w:rsidDel="00000000" w:rsidP="00000000" w:rsidRDefault="00000000" w:rsidRPr="00000000" w14:paraId="0000000C">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750</w:t>
            </w:r>
          </w:p>
        </w:tc>
        <w:tc>
          <w:tcPr>
            <w:vAlign w:val="top"/>
          </w:tcPr>
          <w:p w:rsidR="00000000" w:rsidDel="00000000" w:rsidP="00000000" w:rsidRDefault="00000000" w:rsidRPr="00000000" w14:paraId="0000000D">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5000</w:t>
            </w:r>
          </w:p>
        </w:tc>
      </w:tr>
      <w:tr>
        <w:tc>
          <w:tcPr>
            <w:vAlign w:val="top"/>
          </w:tcPr>
          <w:p w:rsidR="00000000" w:rsidDel="00000000" w:rsidP="00000000" w:rsidRDefault="00000000" w:rsidRPr="00000000" w14:paraId="0000000E">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spending</w:t>
            </w:r>
          </w:p>
        </w:tc>
        <w:tc>
          <w:tcPr>
            <w:vAlign w:val="top"/>
          </w:tcPr>
          <w:p w:rsidR="00000000" w:rsidDel="00000000" w:rsidP="00000000" w:rsidRDefault="00000000" w:rsidRPr="00000000" w14:paraId="0000000F">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1500</w:t>
            </w:r>
          </w:p>
        </w:tc>
        <w:tc>
          <w:tcPr>
            <w:vAlign w:val="top"/>
          </w:tcPr>
          <w:p w:rsidR="00000000" w:rsidDel="00000000" w:rsidP="00000000" w:rsidRDefault="00000000" w:rsidRPr="00000000" w14:paraId="00000010">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c>
          <w:tcPr>
            <w:vAlign w:val="top"/>
          </w:tcPr>
          <w:p w:rsidR="00000000" w:rsidDel="00000000" w:rsidP="00000000" w:rsidRDefault="00000000" w:rsidRPr="00000000" w14:paraId="00000011">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r>
      <w:tr>
        <w:tc>
          <w:tcPr>
            <w:vAlign w:val="top"/>
          </w:tcPr>
          <w:p w:rsidR="00000000" w:rsidDel="00000000" w:rsidP="00000000" w:rsidRDefault="00000000" w:rsidRPr="00000000" w14:paraId="00000012">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Net cash flow</w:t>
            </w:r>
          </w:p>
        </w:tc>
        <w:tc>
          <w:tcPr>
            <w:vAlign w:val="top"/>
          </w:tcPr>
          <w:p w:rsidR="00000000" w:rsidDel="00000000" w:rsidP="00000000" w:rsidRDefault="00000000" w:rsidRPr="00000000" w14:paraId="00000013">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4">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2250</w:t>
            </w:r>
          </w:p>
        </w:tc>
        <w:tc>
          <w:tcPr>
            <w:vAlign w:val="top"/>
          </w:tcPr>
          <w:p w:rsidR="00000000" w:rsidDel="00000000" w:rsidP="00000000" w:rsidRDefault="00000000" w:rsidRPr="00000000" w14:paraId="00000015">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r>
      <w:tr>
        <w:tc>
          <w:tcPr>
            <w:vAlign w:val="top"/>
          </w:tcPr>
          <w:p w:rsidR="00000000" w:rsidDel="00000000" w:rsidP="00000000" w:rsidRDefault="00000000" w:rsidRPr="00000000" w14:paraId="0000001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Closing bank balance</w:t>
            </w:r>
          </w:p>
        </w:tc>
        <w:tc>
          <w:tcPr>
            <w:vAlign w:val="top"/>
          </w:tcPr>
          <w:p w:rsidR="00000000" w:rsidDel="00000000" w:rsidP="00000000" w:rsidRDefault="00000000" w:rsidRPr="00000000" w14:paraId="0000001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c>
          <w:tcPr>
            <w:vAlign w:val="top"/>
          </w:tcPr>
          <w:p w:rsidR="00000000" w:rsidDel="00000000" w:rsidP="00000000" w:rsidRDefault="00000000" w:rsidRPr="00000000" w14:paraId="0000001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1750</w:t>
            </w:r>
          </w:p>
        </w:tc>
      </w:tr>
    </w:tbl>
    <w:p w:rsidR="00000000" w:rsidDel="00000000" w:rsidP="00000000" w:rsidRDefault="00000000" w:rsidRPr="00000000" w14:paraId="0000001A">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B">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C">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opening bank balance is:</w:t>
      </w:r>
    </w:p>
    <w:p w:rsidR="00000000" w:rsidDel="00000000" w:rsidP="00000000" w:rsidRDefault="00000000" w:rsidRPr="00000000" w14:paraId="0000001D">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
                <a:graphic>
                  <a:graphicData uri="http://schemas.microsoft.com/office/word/2010/wordprocessingShape">
                    <wps:wsp>
                      <wps:cNvSpPr/>
                      <wps:cNvPr id="8" name="Shape 8"/>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inflows, including receipts, income, loans, revenue. It is the total cash coming into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3324225" cy="923925"/>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1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1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0">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1">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receipts are: </w:t>
      </w:r>
    </w:p>
    <w:p w:rsidR="00000000" w:rsidDel="00000000" w:rsidP="00000000" w:rsidRDefault="00000000" w:rsidRPr="00000000" w14:paraId="00000022">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
                <a:graphic>
                  <a:graphicData uri="http://schemas.microsoft.com/office/word/2010/wordprocessingShape">
                    <wps:wsp>
                      <wps:cNvSpPr/>
                      <wps:cNvPr id="10" name="Shape 10"/>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
                <a:graphic>
                  <a:graphicData uri="http://schemas.microsoft.com/office/word/2010/wordprocessingShape">
                    <wps:wsp>
                      <wps:cNvSpPr/>
                      <wps:cNvPr id="9" name="Shape 9"/>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cash held by the business at the start of the month. It is the closing balance if the previous month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image10.png"/>
                <a:graphic>
                  <a:graphicData uri="http://schemas.openxmlformats.org/drawingml/2006/picture">
                    <pic:pic>
                      <pic:nvPicPr>
                        <pic:cNvPr id="0" name="image10.png"/>
                        <pic:cNvPicPr preferRelativeResize="0"/>
                      </pic:nvPicPr>
                      <pic:blipFill>
                        <a:blip r:embed="rId10"/>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23">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4">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5">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6">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spending is:</w:t>
      </w:r>
    </w:p>
    <w:p w:rsidR="00000000" w:rsidDel="00000000" w:rsidP="00000000" w:rsidRDefault="00000000" w:rsidRPr="00000000" w14:paraId="00000027">
      <w:pPr>
        <w:tabs>
          <w:tab w:val="left" w:pos="2115"/>
        </w:tabs>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
                <a:graphic>
                  <a:graphicData uri="http://schemas.microsoft.com/office/word/2010/wordprocessingShape">
                    <wps:wsp>
                      <wps:cNvSpPr/>
                      <wps:cNvPr id="5" name="Shape 5"/>
                      <wps:spPr>
                        <a:xfrm>
                          <a:off x="3745800" y="3314545"/>
                          <a:ext cx="3200400" cy="93091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money held by the business at the end of the month. It is the opening balance of the next month. It is calculated by adding the opening balance and the net cash flow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3209925" cy="9404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
                <a:graphic>
                  <a:graphicData uri="http://schemas.microsoft.com/office/word/2010/wordprocessingShape">
                    <wps:wsp>
                      <wps:cNvSpPr/>
                      <wps:cNvPr id="4" name="Shape 4"/>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image3.png"/>
                <a:graphic>
                  <a:graphicData uri="http://schemas.openxmlformats.org/drawingml/2006/picture">
                    <pic:pic>
                      <pic:nvPicPr>
                        <pic:cNvPr id="0" name="image3.png"/>
                        <pic:cNvPicPr preferRelativeResize="0"/>
                      </pic:nvPicPr>
                      <pic:blipFill>
                        <a:blip r:embed="rId12"/>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8">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9">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A">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B">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net cash flow is:</w:t>
      </w:r>
    </w:p>
    <w:p w:rsidR="00000000" w:rsidDel="00000000" w:rsidP="00000000" w:rsidRDefault="00000000" w:rsidRPr="00000000" w14:paraId="0000002C">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
                <a:graphic>
                  <a:graphicData uri="http://schemas.microsoft.com/office/word/2010/wordprocessingShape">
                    <wps:wsp>
                      <wps:cNvSpPr/>
                      <wps:cNvPr id="7" name="Shape 7"/>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outflows, including wages, rent, bills. It is the total cash going out of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image6.png"/>
                <a:graphic>
                  <a:graphicData uri="http://schemas.openxmlformats.org/drawingml/2006/picture">
                    <pic:pic>
                      <pic:nvPicPr>
                        <pic:cNvPr id="0" name="image6.png"/>
                        <pic:cNvPicPr preferRelativeResize="0"/>
                      </pic:nvPicPr>
                      <pic:blipFill>
                        <a:blip r:embed="rId13"/>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
                <a:graphic>
                  <a:graphicData uri="http://schemas.microsoft.com/office/word/2010/wordprocessingShape">
                    <wps:wsp>
                      <wps:cNvSpPr/>
                      <wps:cNvPr id="6" name="Shape 6"/>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image5.png"/>
                <a:graphic>
                  <a:graphicData uri="http://schemas.openxmlformats.org/drawingml/2006/picture">
                    <pic:pic>
                      <pic:nvPicPr>
                        <pic:cNvPr id="0" name="image5.png"/>
                        <pic:cNvPicPr preferRelativeResize="0"/>
                      </pic:nvPicPr>
                      <pic:blipFill>
                        <a:blip r:embed="rId14"/>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D">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30">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closing bank balance is: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
                <a:graphic>
                  <a:graphicData uri="http://schemas.microsoft.com/office/word/2010/wordprocessingShape">
                    <wps:wsp>
                      <wps:cNvSpPr/>
                      <wps:cNvPr id="3" name="Shape 3"/>
                      <wps:spPr>
                        <a:xfrm>
                          <a:off x="4088700" y="3494250"/>
                          <a:ext cx="2514600" cy="57150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t xml:space="preserve">Is calculated by taking total cash outflows from total cash inflows</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image2.png"/>
                <a:graphic>
                  <a:graphicData uri="http://schemas.openxmlformats.org/drawingml/2006/picture">
                    <pic:pic>
                      <pic:nvPicPr>
                        <pic:cNvPr id="0" name="image2.png"/>
                        <pic:cNvPicPr preferRelativeResize="0"/>
                      </pic:nvPicPr>
                      <pic:blipFill>
                        <a:blip r:embed="rId15"/>
                        <a:srcRect/>
                        <a:stretch>
                          <a:fillRect/>
                        </a:stretch>
                      </pic:blipFill>
                      <pic:spPr>
                        <a:xfrm>
                          <a:off x="0" y="0"/>
                          <a:ext cx="2524125" cy="581025"/>
                        </a:xfrm>
                        <a:prstGeom prst="rect"/>
                        <a:ln/>
                      </pic:spPr>
                    </pic:pic>
                  </a:graphicData>
                </a:graphic>
              </wp:anchor>
            </w:drawing>
          </mc:Fallback>
        </mc:AlternateContent>
      </w:r>
    </w:p>
    <w:p w:rsidR="00000000" w:rsidDel="00000000" w:rsidP="00000000" w:rsidRDefault="00000000" w:rsidRPr="00000000" w14:paraId="00000031">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
                <a:graphic>
                  <a:graphicData uri="http://schemas.microsoft.com/office/word/2010/wordprocessingShape">
                    <wps:wsp>
                      <wps:cNvSpPr/>
                      <wps:cNvPr id="11" name="Shape 11"/>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image12.png"/>
                <a:graphic>
                  <a:graphicData uri="http://schemas.openxmlformats.org/drawingml/2006/picture">
                    <pic:pic>
                      <pic:nvPicPr>
                        <pic:cNvPr id="0" name="image12.png"/>
                        <pic:cNvPicPr preferRelativeResize="0"/>
                      </pic:nvPicPr>
                      <pic:blipFill>
                        <a:blip r:embed="rId16"/>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
                <a:graphic>
                  <a:graphicData uri="http://schemas.microsoft.com/office/word/2010/wordprocessingShape">
                    <wps:wsp>
                      <wps:cNvSpPr/>
                      <wps:cNvPr id="2" name="Shape 2"/>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Total cash outflows (total spending) – total cash inflows (total receipts)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image1.png"/>
                <a:graphic>
                  <a:graphicData uri="http://schemas.openxmlformats.org/drawingml/2006/picture">
                    <pic:pic>
                      <pic:nvPicPr>
                        <pic:cNvPr id="0" name="image1.png"/>
                        <pic:cNvPicPr preferRelativeResize="0"/>
                      </pic:nvPicPr>
                      <pic:blipFill>
                        <a:blip r:embed="rId17"/>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32">
      <w:pPr>
        <w:rPr>
          <w:rFonts w:ascii="Comic Sans MS" w:cs="Comic Sans MS" w:eastAsia="Comic Sans MS" w:hAnsi="Comic Sans MS"/>
          <w:sz w:val="32"/>
          <w:szCs w:val="32"/>
          <w:vertAlign w:val="baseline"/>
        </w:rPr>
      </w:pPr>
      <w:r w:rsidDel="00000000" w:rsidR="00000000" w:rsidRPr="00000000">
        <w:rPr>
          <w:rtl w:val="0"/>
        </w:rPr>
      </w:r>
    </w:p>
    <w:sectPr>
      <w:headerReference r:id="rId18" w:type="default"/>
      <w:pgSz w:h="16838" w:w="11906"/>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Comic Sans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center"/>
      <w:rPr>
        <w:rFonts w:ascii="Comic Sans MS" w:cs="Comic Sans MS" w:eastAsia="Comic Sans MS" w:hAnsi="Comic Sans MS"/>
        <w:b w:val="0"/>
        <w:i w:val="0"/>
        <w:smallCaps w:val="0"/>
        <w:strike w:val="0"/>
        <w:color w:val="000000"/>
        <w:sz w:val="32"/>
        <w:szCs w:val="32"/>
        <w:u w:val="none"/>
        <w:shd w:fill="auto" w:val="clear"/>
        <w:vertAlign w:val="baseline"/>
      </w:rPr>
    </w:pPr>
    <w:r w:rsidDel="00000000" w:rsidR="00000000" w:rsidRPr="00000000">
      <w:rPr>
        <w:rFonts w:ascii="Comic Sans MS" w:cs="Comic Sans MS" w:eastAsia="Comic Sans MS" w:hAnsi="Comic Sans MS"/>
        <w:b w:val="1"/>
        <w:i w:val="0"/>
        <w:smallCaps w:val="0"/>
        <w:strike w:val="0"/>
        <w:color w:val="000000"/>
        <w:sz w:val="32"/>
        <w:szCs w:val="32"/>
        <w:u w:val="none"/>
        <w:shd w:fill="auto" w:val="clear"/>
        <w:vertAlign w:val="baseline"/>
        <w:rtl w:val="0"/>
      </w:rPr>
      <w:t xml:space="preserve">Cash Flow</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0.png"/><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image" Target="media/image1.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9.png"/><Relationship Id="rId18" Type="http://schemas.openxmlformats.org/officeDocument/2006/relationships/header" Target="header1.xml"/><Relationship Id="rId7" Type="http://schemas.openxmlformats.org/officeDocument/2006/relationships/image" Target="media/image7.png"/><Relationship Id="rId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